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6E" w:rsidRDefault="005F566E" w:rsidP="008E70EC">
      <w:pPr>
        <w:spacing w:line="360" w:lineRule="auto"/>
        <w:jc w:val="both"/>
        <w:rPr>
          <w:rFonts w:ascii="Arial" w:hAnsi="Arial" w:cs="Arial"/>
        </w:rPr>
      </w:pPr>
    </w:p>
    <w:p w:rsidR="005F566E" w:rsidRDefault="005F566E" w:rsidP="008E70EC">
      <w:pPr>
        <w:spacing w:line="360" w:lineRule="auto"/>
        <w:jc w:val="both"/>
        <w:rPr>
          <w:rFonts w:ascii="Arial" w:hAnsi="Arial" w:cs="Arial"/>
        </w:rPr>
      </w:pPr>
    </w:p>
    <w:p w:rsidR="005F566E" w:rsidRDefault="005F566E" w:rsidP="008E70EC">
      <w:pPr>
        <w:spacing w:line="360" w:lineRule="auto"/>
        <w:jc w:val="both"/>
        <w:rPr>
          <w:rFonts w:ascii="Arial" w:hAnsi="Arial" w:cs="Arial"/>
        </w:rPr>
      </w:pPr>
    </w:p>
    <w:p w:rsidR="005F566E" w:rsidRDefault="005F566E" w:rsidP="008E70EC">
      <w:pPr>
        <w:spacing w:line="360" w:lineRule="auto"/>
        <w:jc w:val="both"/>
        <w:rPr>
          <w:rFonts w:ascii="Arial" w:hAnsi="Arial" w:cs="Arial"/>
        </w:rPr>
      </w:pPr>
    </w:p>
    <w:p w:rsidR="005F566E" w:rsidRDefault="005F566E" w:rsidP="00C91CEC">
      <w:pPr>
        <w:spacing w:line="360" w:lineRule="auto"/>
        <w:jc w:val="center"/>
        <w:rPr>
          <w:rFonts w:ascii="Arial" w:hAnsi="Arial" w:cs="Arial"/>
        </w:rPr>
        <w:sectPr w:rsidR="005F566E" w:rsidSect="00AF13D0">
          <w:pgSz w:w="11906" w:h="16838"/>
          <w:pgMar w:top="1417" w:right="1701" w:bottom="1417" w:left="1701" w:header="708" w:footer="708" w:gutter="0"/>
          <w:cols w:space="708"/>
          <w:docGrid w:linePitch="360"/>
        </w:sectPr>
      </w:pPr>
      <w:r w:rsidRPr="00F73184">
        <w:rPr>
          <w:rFonts w:ascii="Arial" w:hAnsi="Arial"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4.5pt;height:445.5pt" fillcolor="#b2b2b2" strokecolor="#33c" strokeweight="1pt">
            <v:fill opacity=".5"/>
            <v:shadow on="t" color="#99f" offset="3pt"/>
            <v:textpath style="font-family:&quot;Arial Black&quot;;v-text-kern:t" trim="t" fitpath="t" string=" El Impuesto de Sellos&#10; y el nuevo&#10;Código Civil y Comercial&#10;de la Nación"/>
          </v:shape>
        </w:pict>
      </w:r>
    </w:p>
    <w:p w:rsidR="005F566E" w:rsidRDefault="005F566E" w:rsidP="00FF6FD2">
      <w:pPr>
        <w:spacing w:line="360" w:lineRule="auto"/>
        <w:jc w:val="center"/>
        <w:rPr>
          <w:rFonts w:ascii="Arial" w:hAnsi="Arial" w:cs="Arial"/>
          <w:b/>
          <w:u w:val="single"/>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Pr="000D53E4" w:rsidRDefault="005F566E" w:rsidP="00FF6FD2">
      <w:pPr>
        <w:spacing w:after="0" w:line="240" w:lineRule="auto"/>
        <w:jc w:val="center"/>
        <w:rPr>
          <w:rFonts w:ascii="Arial" w:hAnsi="Arial" w:cs="Arial"/>
          <w:b/>
          <w:sz w:val="52"/>
          <w:szCs w:val="52"/>
        </w:rPr>
      </w:pPr>
      <w:r w:rsidRPr="000D53E4">
        <w:rPr>
          <w:rFonts w:ascii="Arial" w:hAnsi="Arial" w:cs="Arial"/>
          <w:b/>
          <w:sz w:val="52"/>
          <w:szCs w:val="52"/>
        </w:rPr>
        <w:t>XV SEMINARIO INTERNACIONAL SOBRE TRIBUTACION LOCAL</w:t>
      </w:r>
    </w:p>
    <w:p w:rsidR="005F566E" w:rsidRPr="000D53E4" w:rsidRDefault="005F566E" w:rsidP="00FF6FD2">
      <w:pPr>
        <w:spacing w:after="0" w:line="240" w:lineRule="auto"/>
        <w:jc w:val="center"/>
        <w:rPr>
          <w:rFonts w:ascii="Arial" w:hAnsi="Arial" w:cs="Arial"/>
          <w:b/>
          <w:sz w:val="52"/>
          <w:szCs w:val="52"/>
          <w:u w:val="single"/>
        </w:rPr>
      </w:pPr>
    </w:p>
    <w:p w:rsidR="005F566E" w:rsidRDefault="005F566E" w:rsidP="00FF6FD2">
      <w:pPr>
        <w:spacing w:after="0" w:line="240" w:lineRule="auto"/>
        <w:jc w:val="center"/>
        <w:rPr>
          <w:rFonts w:ascii="Arial" w:hAnsi="Arial" w:cs="Arial"/>
          <w:b/>
          <w:sz w:val="44"/>
          <w:szCs w:val="44"/>
          <w:u w:val="single"/>
        </w:rPr>
      </w:pPr>
    </w:p>
    <w:p w:rsidR="005F566E" w:rsidRDefault="005F566E" w:rsidP="00FF6FD2">
      <w:pPr>
        <w:spacing w:after="0" w:line="240" w:lineRule="auto"/>
        <w:jc w:val="center"/>
        <w:rPr>
          <w:rFonts w:ascii="Arial" w:hAnsi="Arial" w:cs="Arial"/>
          <w:b/>
          <w:sz w:val="44"/>
          <w:szCs w:val="44"/>
          <w:u w:val="single"/>
        </w:rPr>
      </w:pPr>
    </w:p>
    <w:p w:rsidR="005F566E" w:rsidRDefault="005F566E" w:rsidP="002A1420">
      <w:pPr>
        <w:spacing w:after="0" w:line="240" w:lineRule="auto"/>
        <w:jc w:val="center"/>
        <w:rPr>
          <w:rFonts w:ascii="Arial" w:hAnsi="Arial" w:cs="Arial"/>
          <w:sz w:val="44"/>
          <w:szCs w:val="44"/>
        </w:rPr>
      </w:pPr>
    </w:p>
    <w:p w:rsidR="005F566E" w:rsidRDefault="005F566E" w:rsidP="002A1420">
      <w:pPr>
        <w:spacing w:after="0" w:line="240" w:lineRule="auto"/>
        <w:jc w:val="center"/>
        <w:rPr>
          <w:rFonts w:ascii="Arial" w:hAnsi="Arial" w:cs="Arial"/>
          <w:sz w:val="44"/>
          <w:szCs w:val="44"/>
        </w:rPr>
      </w:pPr>
      <w:r>
        <w:rPr>
          <w:rFonts w:ascii="Arial" w:hAnsi="Arial" w:cs="Arial"/>
          <w:sz w:val="44"/>
          <w:szCs w:val="44"/>
        </w:rPr>
        <w:t>Dra. Andragnez Marina Celeste</w:t>
      </w:r>
    </w:p>
    <w:p w:rsidR="005F566E" w:rsidRDefault="005F566E" w:rsidP="00FF6FD2">
      <w:pPr>
        <w:spacing w:after="0" w:line="240" w:lineRule="auto"/>
        <w:jc w:val="center"/>
        <w:rPr>
          <w:rFonts w:ascii="Arial" w:hAnsi="Arial" w:cs="Arial"/>
          <w:sz w:val="44"/>
          <w:szCs w:val="44"/>
        </w:rPr>
      </w:pPr>
      <w:r>
        <w:rPr>
          <w:rFonts w:ascii="Arial" w:hAnsi="Arial" w:cs="Arial"/>
          <w:sz w:val="44"/>
          <w:szCs w:val="44"/>
        </w:rPr>
        <w:t>Especialista en Derecho Tributario (UBA)</w:t>
      </w: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r>
        <w:rPr>
          <w:rFonts w:ascii="Arial" w:hAnsi="Arial" w:cs="Arial"/>
          <w:sz w:val="44"/>
          <w:szCs w:val="44"/>
        </w:rPr>
        <w:t>Dra. Fernández Cintia Lorena</w:t>
      </w:r>
    </w:p>
    <w:p w:rsidR="005F566E" w:rsidRDefault="005F566E" w:rsidP="00FF6FD2">
      <w:pPr>
        <w:spacing w:after="0" w:line="240" w:lineRule="auto"/>
        <w:jc w:val="center"/>
        <w:rPr>
          <w:rFonts w:ascii="Arial" w:hAnsi="Arial" w:cs="Arial"/>
          <w:sz w:val="44"/>
          <w:szCs w:val="44"/>
        </w:rPr>
      </w:pPr>
      <w:r>
        <w:rPr>
          <w:rFonts w:ascii="Arial" w:hAnsi="Arial" w:cs="Arial"/>
          <w:sz w:val="44"/>
          <w:szCs w:val="44"/>
        </w:rPr>
        <w:t>Especialista en Derecho Tributario (UBA)</w:t>
      </w: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FF6FD2">
      <w:pPr>
        <w:spacing w:after="0" w:line="240" w:lineRule="auto"/>
        <w:jc w:val="center"/>
        <w:rPr>
          <w:rFonts w:ascii="Arial" w:hAnsi="Arial" w:cs="Arial"/>
          <w:sz w:val="44"/>
          <w:szCs w:val="44"/>
        </w:rPr>
      </w:pPr>
    </w:p>
    <w:p w:rsidR="005F566E" w:rsidRDefault="005F566E" w:rsidP="002A1420">
      <w:pPr>
        <w:spacing w:after="0" w:line="240" w:lineRule="auto"/>
        <w:jc w:val="center"/>
        <w:rPr>
          <w:rFonts w:ascii="Arial" w:hAnsi="Arial" w:cs="Arial"/>
          <w:sz w:val="44"/>
          <w:szCs w:val="44"/>
        </w:rPr>
      </w:pPr>
      <w:r>
        <w:rPr>
          <w:rFonts w:ascii="Arial" w:hAnsi="Arial" w:cs="Arial"/>
          <w:sz w:val="44"/>
          <w:szCs w:val="44"/>
        </w:rPr>
        <w:t>Fundación de Estudios e Investigaciones Tributarias</w:t>
      </w:r>
    </w:p>
    <w:p w:rsidR="005F566E" w:rsidRPr="00FF6FD2" w:rsidRDefault="005F566E" w:rsidP="00FF6FD2">
      <w:pPr>
        <w:spacing w:after="0" w:line="240" w:lineRule="auto"/>
        <w:jc w:val="center"/>
        <w:rPr>
          <w:rFonts w:ascii="Arial" w:hAnsi="Arial" w:cs="Arial"/>
          <w:b/>
          <w:sz w:val="44"/>
          <w:szCs w:val="44"/>
          <w:u w:val="single"/>
        </w:rPr>
      </w:pPr>
      <w:r>
        <w:rPr>
          <w:rFonts w:ascii="Arial" w:hAnsi="Arial" w:cs="Arial"/>
          <w:sz w:val="44"/>
          <w:szCs w:val="44"/>
        </w:rPr>
        <w:t>Noviembre 2015 - Salta</w:t>
      </w:r>
      <w:r w:rsidRPr="00FF6FD2">
        <w:rPr>
          <w:rFonts w:ascii="Arial" w:hAnsi="Arial" w:cs="Arial"/>
          <w:b/>
          <w:sz w:val="44"/>
          <w:szCs w:val="44"/>
          <w:u w:val="single"/>
        </w:rPr>
        <w:br w:type="page"/>
      </w:r>
    </w:p>
    <w:p w:rsidR="005F566E" w:rsidRPr="002A1420" w:rsidRDefault="005F566E" w:rsidP="002A1420">
      <w:pPr>
        <w:spacing w:line="360" w:lineRule="auto"/>
        <w:jc w:val="both"/>
        <w:rPr>
          <w:rFonts w:ascii="Arial" w:hAnsi="Arial" w:cs="Arial"/>
          <w:b/>
          <w:sz w:val="24"/>
          <w:szCs w:val="24"/>
          <w:u w:val="single"/>
        </w:rPr>
      </w:pPr>
      <w:r w:rsidRPr="002A1420">
        <w:rPr>
          <w:rFonts w:ascii="Arial" w:hAnsi="Arial" w:cs="Arial"/>
          <w:b/>
          <w:sz w:val="24"/>
          <w:szCs w:val="24"/>
          <w:u w:val="single"/>
        </w:rPr>
        <w:t xml:space="preserve">El Impuesto de Sellos y el nuevo Código Civil y Comercial de </w:t>
      </w:r>
      <w:smartTag w:uri="urn:schemas-microsoft-com:office:smarttags" w:element="PersonName">
        <w:smartTagPr>
          <w:attr w:name="ProductID" w:val="la Nación"/>
        </w:smartTagPr>
        <w:r w:rsidRPr="002A1420">
          <w:rPr>
            <w:rFonts w:ascii="Arial" w:hAnsi="Arial" w:cs="Arial"/>
            <w:b/>
            <w:sz w:val="24"/>
            <w:szCs w:val="24"/>
            <w:u w:val="single"/>
          </w:rPr>
          <w:t>la Nación</w:t>
        </w:r>
      </w:smartTag>
    </w:p>
    <w:p w:rsidR="005F566E" w:rsidRPr="002A1420" w:rsidRDefault="005F566E" w:rsidP="002A1420">
      <w:pPr>
        <w:spacing w:line="360" w:lineRule="auto"/>
        <w:jc w:val="both"/>
        <w:rPr>
          <w:rFonts w:ascii="Arial" w:hAnsi="Arial" w:cs="Arial"/>
          <w:b/>
          <w:sz w:val="24"/>
          <w:szCs w:val="24"/>
        </w:rPr>
      </w:pPr>
      <w:r w:rsidRPr="002A1420">
        <w:rPr>
          <w:rFonts w:ascii="Arial" w:hAnsi="Arial" w:cs="Arial"/>
          <w:b/>
          <w:sz w:val="24"/>
          <w:szCs w:val="24"/>
        </w:rPr>
        <w:t>I.- Introducción: El nuevo Código Civil y Comercial y su influencia en el derecho tributario.</w:t>
      </w:r>
    </w:p>
    <w:p w:rsidR="005F566E" w:rsidRPr="002A1420" w:rsidRDefault="005F566E" w:rsidP="002A1420">
      <w:pPr>
        <w:spacing w:line="360" w:lineRule="auto"/>
        <w:jc w:val="both"/>
        <w:rPr>
          <w:rFonts w:ascii="Arial" w:hAnsi="Arial" w:cs="Arial"/>
          <w:sz w:val="24"/>
          <w:szCs w:val="24"/>
        </w:rPr>
      </w:pPr>
      <w:r>
        <w:rPr>
          <w:rFonts w:ascii="Arial" w:hAnsi="Arial" w:cs="Arial"/>
          <w:sz w:val="24"/>
          <w:szCs w:val="24"/>
        </w:rPr>
        <w:t>El 1º de Agosto pasado entró</w:t>
      </w:r>
      <w:r w:rsidRPr="002A1420">
        <w:rPr>
          <w:rFonts w:ascii="Arial" w:hAnsi="Arial" w:cs="Arial"/>
          <w:sz w:val="24"/>
          <w:szCs w:val="24"/>
        </w:rPr>
        <w:t xml:space="preserve"> en vigencia el nuevo Código Civil y Comercial de </w:t>
      </w:r>
      <w:smartTag w:uri="urn:schemas-microsoft-com:office:smarttags" w:element="PersonName">
        <w:smartTagPr>
          <w:attr w:name="ProductID" w:val="la Nación"/>
        </w:smartTagPr>
        <w:r w:rsidRPr="002A1420">
          <w:rPr>
            <w:rFonts w:ascii="Arial" w:hAnsi="Arial" w:cs="Arial"/>
            <w:sz w:val="24"/>
            <w:szCs w:val="24"/>
          </w:rPr>
          <w:t>la Nación</w:t>
        </w:r>
      </w:smartTag>
      <w:r w:rsidRPr="002A1420">
        <w:rPr>
          <w:rFonts w:ascii="Arial" w:hAnsi="Arial" w:cs="Arial"/>
          <w:sz w:val="24"/>
          <w:szCs w:val="24"/>
        </w:rPr>
        <w:t>, bajo la ley número 26.994, y con su aparición surgen una serie de interrogantes, como por ejemplo: ¿Puede el Código Civil y Comercial modificar cu</w:t>
      </w:r>
      <w:r>
        <w:rPr>
          <w:rFonts w:ascii="Arial" w:hAnsi="Arial" w:cs="Arial"/>
          <w:sz w:val="24"/>
          <w:szCs w:val="24"/>
        </w:rPr>
        <w:t>estiones de derecho público?, ¿E</w:t>
      </w:r>
      <w:r w:rsidRPr="002A1420">
        <w:rPr>
          <w:rFonts w:ascii="Arial" w:hAnsi="Arial" w:cs="Arial"/>
          <w:sz w:val="24"/>
          <w:szCs w:val="24"/>
        </w:rPr>
        <w:t xml:space="preserve">n qué magnitud?. ¿Se puede ver afectada la autonomía del derecho tributario ante dicha posibilidad?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Lo cierto es que la nueva norma tiene un efecto derrame sobre las otras ramas del derecho, incluido por qué no, el derecho tributario, en el que las nuevas realidades que recepta el Código Civil y Comercial tienen implicancias directas sobre la materia impositiva. Consecuencia de ello, es que se</w:t>
      </w:r>
      <w:r>
        <w:rPr>
          <w:rFonts w:ascii="Arial" w:hAnsi="Arial" w:cs="Arial"/>
          <w:sz w:val="24"/>
          <w:szCs w:val="24"/>
        </w:rPr>
        <w:t xml:space="preserve"> </w:t>
      </w:r>
      <w:r w:rsidRPr="002A1420">
        <w:rPr>
          <w:rFonts w:ascii="Arial" w:hAnsi="Arial" w:cs="Arial"/>
          <w:sz w:val="24"/>
          <w:szCs w:val="24"/>
        </w:rPr>
        <w:t>provocan nuevas situaciones tributarias y como sostienen los expertos, se requerirá la adaptación de las normas del sistema fiscal, lo que podría llevar incluso, a una reforma tributaria integral.</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A modo de reseña, estos son los principales aspectos en que el nuevo Código influirá:</w:t>
      </w:r>
    </w:p>
    <w:p w:rsidR="005F566E" w:rsidRPr="002A1420" w:rsidRDefault="005F566E" w:rsidP="002A1420">
      <w:pPr>
        <w:pStyle w:val="ListParagraph"/>
        <w:numPr>
          <w:ilvl w:val="0"/>
          <w:numId w:val="1"/>
        </w:numPr>
        <w:spacing w:line="360" w:lineRule="auto"/>
        <w:jc w:val="both"/>
        <w:rPr>
          <w:rFonts w:ascii="Arial" w:hAnsi="Arial" w:cs="Arial"/>
          <w:sz w:val="24"/>
          <w:szCs w:val="24"/>
        </w:rPr>
      </w:pPr>
      <w:r w:rsidRPr="002A1420">
        <w:rPr>
          <w:rFonts w:ascii="Arial" w:hAnsi="Arial" w:cs="Arial"/>
          <w:sz w:val="24"/>
          <w:szCs w:val="24"/>
        </w:rPr>
        <w:t>Se producen cambios a nivel societario, con la introducción de la sociedad anónima unipersonal y las sociedades de cónyuges;  incidiendo directamente sobre el Impuesto a las Ganancias, en</w:t>
      </w:r>
      <w:r>
        <w:rPr>
          <w:rFonts w:ascii="Arial" w:hAnsi="Arial" w:cs="Arial"/>
          <w:sz w:val="24"/>
          <w:szCs w:val="24"/>
        </w:rPr>
        <w:t xml:space="preserve"> el Impuesto sobre los </w:t>
      </w:r>
      <w:r w:rsidRPr="002A1420">
        <w:rPr>
          <w:rFonts w:ascii="Arial" w:hAnsi="Arial" w:cs="Arial"/>
          <w:sz w:val="24"/>
          <w:szCs w:val="24"/>
        </w:rPr>
        <w:t>Bienes Personales, ya que las empresas unipersonales incorporan el patrimonio neto dentro de la liquidación individual y no como una partición societaria.  Y también en materia de monotributo, habría que ha</w:t>
      </w:r>
      <w:r>
        <w:rPr>
          <w:rFonts w:ascii="Arial" w:hAnsi="Arial" w:cs="Arial"/>
          <w:sz w:val="24"/>
          <w:szCs w:val="24"/>
        </w:rPr>
        <w:t>cer el respectivo ajuste, porque</w:t>
      </w:r>
      <w:r w:rsidRPr="002A1420">
        <w:rPr>
          <w:rFonts w:ascii="Arial" w:hAnsi="Arial" w:cs="Arial"/>
          <w:sz w:val="24"/>
          <w:szCs w:val="24"/>
        </w:rPr>
        <w:t xml:space="preserve"> muchos contribuyentes adheridos al mismo, se tratan de empresas unipersonales.</w:t>
      </w:r>
    </w:p>
    <w:p w:rsidR="005F566E" w:rsidRPr="002A1420" w:rsidRDefault="005F566E" w:rsidP="002A1420">
      <w:pPr>
        <w:pStyle w:val="ListParagraph"/>
        <w:numPr>
          <w:ilvl w:val="0"/>
          <w:numId w:val="1"/>
        </w:numPr>
        <w:spacing w:line="360" w:lineRule="auto"/>
        <w:jc w:val="both"/>
        <w:rPr>
          <w:rFonts w:ascii="Arial" w:hAnsi="Arial" w:cs="Arial"/>
          <w:sz w:val="24"/>
          <w:szCs w:val="24"/>
        </w:rPr>
      </w:pPr>
      <w:r w:rsidRPr="002A1420">
        <w:rPr>
          <w:rFonts w:ascii="Arial" w:hAnsi="Arial" w:cs="Arial"/>
          <w:sz w:val="24"/>
          <w:szCs w:val="24"/>
        </w:rPr>
        <w:t>Siguiendo con el tema de las sociedades, hay que tener presente que el nuevo Código contempla que el comienzo de la existencia de éstas</w:t>
      </w:r>
      <w:r>
        <w:rPr>
          <w:rFonts w:ascii="Arial" w:hAnsi="Arial" w:cs="Arial"/>
          <w:sz w:val="24"/>
          <w:szCs w:val="24"/>
        </w:rPr>
        <w:t>,</w:t>
      </w:r>
      <w:r w:rsidRPr="002A1420">
        <w:rPr>
          <w:rFonts w:ascii="Arial" w:hAnsi="Arial" w:cs="Arial"/>
          <w:sz w:val="24"/>
          <w:szCs w:val="24"/>
        </w:rPr>
        <w:t xml:space="preserve"> es desde su constitución y no desde la aprobación de los estatutos. Las sociedades civiles y de hecho quedan derogadas, creándose un tipo societario que reúne a todas, con la urgente necesidad de adecuar los distintos tributos a ella. </w:t>
      </w:r>
    </w:p>
    <w:p w:rsidR="005F566E" w:rsidRPr="002A1420" w:rsidRDefault="005F566E" w:rsidP="002A1420">
      <w:pPr>
        <w:pStyle w:val="ListParagraph"/>
        <w:numPr>
          <w:ilvl w:val="0"/>
          <w:numId w:val="1"/>
        </w:numPr>
        <w:spacing w:line="360" w:lineRule="auto"/>
        <w:jc w:val="both"/>
        <w:rPr>
          <w:rFonts w:ascii="Arial" w:hAnsi="Arial" w:cs="Arial"/>
          <w:sz w:val="24"/>
          <w:szCs w:val="24"/>
        </w:rPr>
      </w:pPr>
      <w:r w:rsidRPr="002A1420">
        <w:rPr>
          <w:rFonts w:ascii="Arial" w:hAnsi="Arial" w:cs="Arial"/>
          <w:sz w:val="24"/>
          <w:szCs w:val="24"/>
        </w:rPr>
        <w:t>Los cambios en el régimen de familia, importan el reconocimiento de las nuevas uniones convivenciales, se establecen cambios en el régimen patrimonial del matrimonio o de los asimilados a ellos, lo que conlleva importantes cambios a nivel impositivo.</w:t>
      </w:r>
    </w:p>
    <w:p w:rsidR="005F566E" w:rsidRPr="002A1420" w:rsidRDefault="005F566E" w:rsidP="002A1420">
      <w:pPr>
        <w:pStyle w:val="ListParagraph"/>
        <w:numPr>
          <w:ilvl w:val="0"/>
          <w:numId w:val="1"/>
        </w:numPr>
        <w:spacing w:line="360" w:lineRule="auto"/>
        <w:jc w:val="both"/>
        <w:rPr>
          <w:rFonts w:ascii="Arial" w:hAnsi="Arial" w:cs="Arial"/>
          <w:sz w:val="24"/>
          <w:szCs w:val="24"/>
        </w:rPr>
      </w:pPr>
      <w:r w:rsidRPr="002A1420">
        <w:rPr>
          <w:rFonts w:ascii="Arial" w:hAnsi="Arial" w:cs="Arial"/>
          <w:sz w:val="24"/>
          <w:szCs w:val="24"/>
        </w:rPr>
        <w:t xml:space="preserve"> Los plazos de prescripción, en el nuevo Código unificado, quedan librado a las provincias, quienes de forma autónoma podrán regular el plazo de prescripción de los tributos locales. Si bien se establece un plazo general de 5 años de prescripción, el nuevo artículo 2532 expresa la facultad de las provincias de indicar los propios en materia de tributos. </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 xml:space="preserve">En lo que aquí nos interesa, el nuevo Código Civil y Comercial de </w:t>
      </w:r>
      <w:smartTag w:uri="urn:schemas-microsoft-com:office:smarttags" w:element="PersonName">
        <w:smartTagPr>
          <w:attr w:name="ProductID" w:val="la Nación"/>
        </w:smartTagPr>
        <w:r w:rsidRPr="002A1420">
          <w:rPr>
            <w:rFonts w:ascii="Arial" w:hAnsi="Arial" w:cs="Arial"/>
            <w:sz w:val="24"/>
            <w:szCs w:val="24"/>
          </w:rPr>
          <w:t>la Nación</w:t>
        </w:r>
      </w:smartTag>
      <w:r w:rsidRPr="002A1420">
        <w:rPr>
          <w:rFonts w:ascii="Arial" w:hAnsi="Arial" w:cs="Arial"/>
          <w:sz w:val="24"/>
          <w:szCs w:val="24"/>
        </w:rPr>
        <w:t xml:space="preserve"> tiene influencia a nivel impositivo local, respecto del Impuesto de Sellos, en cuanto a los aspectos centrales del mismo: como ser la instrumentalidad, la firma de los contratos y la contratación “entre ausentes”, </w:t>
      </w:r>
      <w:r>
        <w:rPr>
          <w:rFonts w:ascii="Arial" w:hAnsi="Arial" w:cs="Arial"/>
          <w:sz w:val="24"/>
          <w:szCs w:val="24"/>
        </w:rPr>
        <w:t xml:space="preserve">temas a los que nos abocaremos </w:t>
      </w:r>
      <w:r w:rsidRPr="002A1420">
        <w:rPr>
          <w:rFonts w:ascii="Arial" w:hAnsi="Arial" w:cs="Arial"/>
          <w:sz w:val="24"/>
          <w:szCs w:val="24"/>
        </w:rPr>
        <w:t>seguidamente, a fin de poder apreciar los cambios que se producen.</w:t>
      </w:r>
    </w:p>
    <w:p w:rsidR="005F566E" w:rsidRPr="002A1420" w:rsidRDefault="005F566E" w:rsidP="002A1420">
      <w:pPr>
        <w:pStyle w:val="ListParagraph"/>
        <w:spacing w:line="360" w:lineRule="auto"/>
        <w:ind w:left="0"/>
        <w:jc w:val="both"/>
        <w:rPr>
          <w:rFonts w:ascii="Arial" w:hAnsi="Arial" w:cs="Arial"/>
          <w:sz w:val="24"/>
          <w:szCs w:val="24"/>
        </w:rPr>
      </w:pPr>
    </w:p>
    <w:p w:rsidR="005F566E" w:rsidRPr="002A1420" w:rsidRDefault="005F566E" w:rsidP="002A1420">
      <w:pPr>
        <w:pStyle w:val="ListParagraph"/>
        <w:spacing w:line="360" w:lineRule="auto"/>
        <w:ind w:left="0"/>
        <w:jc w:val="both"/>
        <w:rPr>
          <w:rFonts w:ascii="Arial" w:hAnsi="Arial" w:cs="Arial"/>
          <w:b/>
          <w:sz w:val="24"/>
          <w:szCs w:val="24"/>
        </w:rPr>
      </w:pPr>
      <w:r w:rsidRPr="002A1420">
        <w:rPr>
          <w:rFonts w:ascii="Arial" w:hAnsi="Arial" w:cs="Arial"/>
          <w:b/>
          <w:sz w:val="24"/>
          <w:szCs w:val="24"/>
        </w:rPr>
        <w:t>II.- Conceptos preliminares del Impuesto de Sellos. Hecho imponible y características</w:t>
      </w:r>
      <w:r>
        <w:rPr>
          <w:rStyle w:val="FootnoteReference"/>
          <w:rFonts w:ascii="Arial" w:hAnsi="Arial"/>
          <w:b/>
          <w:sz w:val="24"/>
          <w:szCs w:val="24"/>
        </w:rPr>
        <w:footnoteReference w:id="1"/>
      </w:r>
      <w:r w:rsidRPr="002A1420">
        <w:rPr>
          <w:rFonts w:ascii="Arial" w:hAnsi="Arial" w:cs="Arial"/>
          <w:b/>
          <w:sz w:val="24"/>
          <w:szCs w:val="24"/>
        </w:rPr>
        <w:t>.</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Como ya sabemos, el impuesto de sellos grava la circulación económica en el momento en que se plasma un acto, contrato u operación onerosa instrumentada, radicando el fundamento del mismo en la garantía que el Estado presta a las transacciones sociales que en su territorio se realizan.</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Dicha circulación económica revela, de forma indiciaria o presunta, una determinada capacidad contributiva de los sujetos intervinientes en el acto, presupuesto necesario para el cobro del tributo. De allí, que el tributo en cuestión es indirecto, formal y objetivo.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De lo expuesto se desprenden los dos elementos esenciales del hecho imponible: la onerosidad y la instrumentación. No siendo objeto de este trabajo la onerosidad del acto, nos dedicaremos a desarrollar lo que se entiende por instrumentalidad, aspecto que se verá influenciado por las disposiciones del  nuevo Código Civil y Comercial.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Con las reformas dispuestas por la ley </w:t>
      </w:r>
      <w:smartTag w:uri="urn:schemas-microsoft-com:office:smarttags" w:element="metricconverter">
        <w:smartTagPr>
          <w:attr w:name="ProductID" w:val="22.006 a"/>
        </w:smartTagPr>
        <w:r w:rsidRPr="002A1420">
          <w:rPr>
            <w:rFonts w:ascii="Arial" w:hAnsi="Arial" w:cs="Arial"/>
            <w:sz w:val="24"/>
            <w:szCs w:val="24"/>
          </w:rPr>
          <w:t>22.006 a</w:t>
        </w:r>
      </w:smartTag>
      <w:r w:rsidRPr="002A1420">
        <w:rPr>
          <w:rFonts w:ascii="Arial" w:hAnsi="Arial" w:cs="Arial"/>
          <w:sz w:val="24"/>
          <w:szCs w:val="24"/>
        </w:rPr>
        <w:t xml:space="preserve"> la ley 20.221 ( Ley de Coparticipación vigente en 1935) se intentó introducir una política uniforme adicional, capaz de armonizar la configuración técnica de los recursos tributarios reservados a la provincia, especialmente en materia de ingresos brutos y sellos, que son los que mayormente producen problemas de doble o múltiple imposición, ajustándolos a ciertas directrices en cuanto a sus características básicas, para que las leyes provinciales que regularan tales gravámenes se ajustar</w:t>
      </w:r>
      <w:r>
        <w:rPr>
          <w:rFonts w:ascii="Arial" w:hAnsi="Arial" w:cs="Arial"/>
          <w:sz w:val="24"/>
          <w:szCs w:val="24"/>
        </w:rPr>
        <w:t>a</w:t>
      </w:r>
      <w:r w:rsidRPr="002A1420">
        <w:rPr>
          <w:rFonts w:ascii="Arial" w:hAnsi="Arial" w:cs="Arial"/>
          <w:sz w:val="24"/>
          <w:szCs w:val="24"/>
        </w:rPr>
        <w:t>n a los mismos.</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Dichas directrices fueron incluidas en la ley 20.221, donde a través de la misma se reemplazó la denominación de impuesto de sellos por la de impuestos sobre actos, contratos, y operaciones, lo cual fue una forma elíptica de designar un tributo que recaía sobre actos, contratos y operaciones a título oneroso, instrumentadas. Vale la aclaración de que algunas jurisdicciones tomaron dicha designación, no como mero nombre del impuesto, sino como definición de su hecho o base imponible. Sumando a ello lo genérico de la expresión, se había llegado a excesos en cuanto a su imposición, desvirtuando la esencia del régimen del tributo, es decir de exigirlo sobre todo acto o contrato, instrumentado o no.</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Por los motivos reseñados anteriormente</w:t>
      </w:r>
      <w:r>
        <w:rPr>
          <w:rFonts w:ascii="Arial" w:hAnsi="Arial" w:cs="Arial"/>
          <w:sz w:val="24"/>
          <w:szCs w:val="24"/>
        </w:rPr>
        <w:t>,</w:t>
      </w:r>
      <w:r w:rsidRPr="002A1420">
        <w:rPr>
          <w:rFonts w:ascii="Arial" w:hAnsi="Arial" w:cs="Arial"/>
          <w:sz w:val="24"/>
          <w:szCs w:val="24"/>
        </w:rPr>
        <w:t xml:space="preserve"> la ley 22.006 consideró imprescindible la modificación del régimen de coparticipación, con carácter aclaratorio, en tres ejes:</w:t>
      </w:r>
    </w:p>
    <w:p w:rsidR="005F566E" w:rsidRPr="002A1420" w:rsidRDefault="005F566E" w:rsidP="002A1420">
      <w:pPr>
        <w:pStyle w:val="ListParagraph"/>
        <w:numPr>
          <w:ilvl w:val="0"/>
          <w:numId w:val="2"/>
        </w:numPr>
        <w:spacing w:line="360" w:lineRule="auto"/>
        <w:jc w:val="both"/>
        <w:rPr>
          <w:rFonts w:ascii="Arial" w:hAnsi="Arial" w:cs="Arial"/>
          <w:sz w:val="24"/>
          <w:szCs w:val="24"/>
        </w:rPr>
      </w:pPr>
      <w:r w:rsidRPr="002A1420">
        <w:rPr>
          <w:rFonts w:ascii="Arial" w:hAnsi="Arial" w:cs="Arial"/>
          <w:sz w:val="24"/>
          <w:szCs w:val="24"/>
        </w:rPr>
        <w:t xml:space="preserve"> El regreso a su denominación tradicional, de impuesto de sellos, para evitar erróneas interpretaciones</w:t>
      </w:r>
    </w:p>
    <w:p w:rsidR="005F566E" w:rsidRPr="002A1420" w:rsidRDefault="005F566E" w:rsidP="002A1420">
      <w:pPr>
        <w:pStyle w:val="ListParagraph"/>
        <w:numPr>
          <w:ilvl w:val="0"/>
          <w:numId w:val="2"/>
        </w:numPr>
        <w:spacing w:line="360" w:lineRule="auto"/>
        <w:jc w:val="both"/>
        <w:rPr>
          <w:rFonts w:ascii="Arial" w:hAnsi="Arial" w:cs="Arial"/>
          <w:sz w:val="24"/>
          <w:szCs w:val="24"/>
        </w:rPr>
      </w:pPr>
      <w:r w:rsidRPr="002A1420">
        <w:rPr>
          <w:rFonts w:ascii="Arial" w:hAnsi="Arial" w:cs="Arial"/>
          <w:sz w:val="24"/>
          <w:szCs w:val="24"/>
        </w:rPr>
        <w:t>Limitar los alcances del impuesto a la instrumentación</w:t>
      </w:r>
    </w:p>
    <w:p w:rsidR="005F566E" w:rsidRPr="002A1420" w:rsidRDefault="005F566E" w:rsidP="002A1420">
      <w:pPr>
        <w:pStyle w:val="ListParagraph"/>
        <w:numPr>
          <w:ilvl w:val="0"/>
          <w:numId w:val="2"/>
        </w:numPr>
        <w:spacing w:line="360" w:lineRule="auto"/>
        <w:jc w:val="both"/>
        <w:rPr>
          <w:rFonts w:ascii="Arial" w:hAnsi="Arial" w:cs="Arial"/>
          <w:sz w:val="24"/>
          <w:szCs w:val="24"/>
        </w:rPr>
      </w:pPr>
      <w:r w:rsidRPr="002A1420">
        <w:rPr>
          <w:rFonts w:ascii="Arial" w:hAnsi="Arial" w:cs="Arial"/>
          <w:sz w:val="24"/>
          <w:szCs w:val="24"/>
        </w:rPr>
        <w:t>Definir el concepto de instrumentación, ya que el brindado por la jurisprudencia de las distintas provincias era disímil.</w:t>
      </w:r>
    </w:p>
    <w:p w:rsidR="005F566E" w:rsidRPr="002A1420" w:rsidRDefault="005F566E" w:rsidP="002A1420">
      <w:pPr>
        <w:spacing w:line="360" w:lineRule="auto"/>
        <w:jc w:val="both"/>
        <w:rPr>
          <w:rFonts w:ascii="Arial" w:hAnsi="Arial" w:cs="Arial"/>
          <w:i/>
          <w:sz w:val="24"/>
          <w:szCs w:val="24"/>
        </w:rPr>
      </w:pPr>
      <w:r w:rsidRPr="002A1420">
        <w:rPr>
          <w:rFonts w:ascii="Arial" w:hAnsi="Arial" w:cs="Arial"/>
          <w:sz w:val="24"/>
          <w:szCs w:val="24"/>
        </w:rPr>
        <w:t>En virtud de ello, es el artículo 2 de la ley 22.006, el que sustituyó el inciso b) del artículo 9 de la ley 20.221 y dispuso: “</w:t>
      </w:r>
      <w:r w:rsidRPr="002A1420">
        <w:rPr>
          <w:rFonts w:ascii="Arial" w:hAnsi="Arial" w:cs="Arial"/>
          <w:i/>
          <w:sz w:val="24"/>
          <w:szCs w:val="24"/>
        </w:rPr>
        <w:t xml:space="preserve">En lo que respecta a los impuestos de sellos recaerán sobre actos, contratos y operaciones de carácter oneroso instrumentados, sobre contratos a título oneroso formalizados por correspondencia, y sobre operaciones monetarias que representen entregas o recepción de dinero que devenguen interés efectuadas por entidades financieras regidas por la ley 21.526. </w:t>
      </w:r>
      <w:r w:rsidRPr="002A1420">
        <w:rPr>
          <w:rFonts w:ascii="Arial" w:hAnsi="Arial" w:cs="Arial"/>
          <w:b/>
          <w:i/>
          <w:sz w:val="24"/>
          <w:szCs w:val="24"/>
        </w:rPr>
        <w:t>Se entenderá por instrumento a toda escritura, papel o documento del que surja el perfeccionamiento de los actos, contratos y operaciones mencionadas en la primera parte del párrafo anterior, de manera que revista los caracteres exteriores de un título jurídico por el cual pueda ser exigido el cumplimiento de las obligaciones sin necesidad de otro documento y con prescindencia de los actos que efectivamente realicen los contribuyentes</w:t>
      </w:r>
      <w:r w:rsidRPr="002A1420">
        <w:rPr>
          <w:rFonts w:ascii="Arial" w:hAnsi="Arial" w:cs="Arial"/>
          <w:b/>
          <w:sz w:val="24"/>
          <w:szCs w:val="24"/>
        </w:rPr>
        <w:t>”</w:t>
      </w:r>
      <w:r w:rsidRPr="002A1420">
        <w:rPr>
          <w:rFonts w:ascii="Arial" w:hAnsi="Arial" w:cs="Arial"/>
          <w:sz w:val="24"/>
          <w:szCs w:val="24"/>
        </w:rPr>
        <w:t>. (El destacado nos pertenece).</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Esta redacción subsiste hasta hoy en día, ya que la misma fue receptada en la vigente Ley de Coparticipación N° 23.548, e inclusive ha sido receptada por los Códigos Fiscales provinciales y de </w:t>
      </w:r>
      <w:smartTag w:uri="urn:schemas-microsoft-com:office:smarttags" w:element="PersonName">
        <w:smartTagPr>
          <w:attr w:name="ProductID" w:val="la Ciudad Autónoma"/>
        </w:smartTagPr>
        <w:r w:rsidRPr="002A1420">
          <w:rPr>
            <w:rFonts w:ascii="Arial" w:hAnsi="Arial" w:cs="Arial"/>
            <w:sz w:val="24"/>
            <w:szCs w:val="24"/>
          </w:rPr>
          <w:t>la Ciudad Autónoma</w:t>
        </w:r>
      </w:smartTag>
      <w:r w:rsidRPr="002A1420">
        <w:rPr>
          <w:rFonts w:ascii="Arial" w:hAnsi="Arial" w:cs="Arial"/>
          <w:sz w:val="24"/>
          <w:szCs w:val="24"/>
        </w:rPr>
        <w:t xml:space="preserve"> de Buenos Aires, ya sea expresamente, mediante la incorporación de la definición de instrumento, o bien, mediante la adhesión a </w:t>
      </w:r>
      <w:smartTag w:uri="urn:schemas-microsoft-com:office:smarttags" w:element="PersonName">
        <w:smartTagPr>
          <w:attr w:name="ProductID" w:val="la Ley"/>
        </w:smartTagPr>
        <w:r w:rsidRPr="002A1420">
          <w:rPr>
            <w:rFonts w:ascii="Arial" w:hAnsi="Arial" w:cs="Arial"/>
            <w:sz w:val="24"/>
            <w:szCs w:val="24"/>
          </w:rPr>
          <w:t>la Ley</w:t>
        </w:r>
      </w:smartTag>
      <w:r w:rsidRPr="002A1420">
        <w:rPr>
          <w:rFonts w:ascii="Arial" w:hAnsi="Arial" w:cs="Arial"/>
          <w:sz w:val="24"/>
          <w:szCs w:val="24"/>
        </w:rPr>
        <w:t xml:space="preserve"> de Coparticipación. De acuerdo a lo establecido por el artículo 9 inciso b) punto 2) de la ley vigente, se puede diferenciar la exigencia de instrumento en tres supuestos:</w:t>
      </w:r>
    </w:p>
    <w:p w:rsidR="005F566E" w:rsidRPr="002A1420" w:rsidRDefault="005F566E" w:rsidP="002A1420">
      <w:pPr>
        <w:pStyle w:val="ListParagraph"/>
        <w:spacing w:line="360" w:lineRule="auto"/>
        <w:ind w:left="360"/>
        <w:jc w:val="both"/>
        <w:rPr>
          <w:rFonts w:ascii="Arial" w:hAnsi="Arial" w:cs="Arial"/>
          <w:sz w:val="24"/>
          <w:szCs w:val="24"/>
        </w:rPr>
      </w:pPr>
      <w:r w:rsidRPr="002A1420">
        <w:rPr>
          <w:rFonts w:ascii="Arial" w:hAnsi="Arial" w:cs="Arial"/>
          <w:sz w:val="24"/>
          <w:szCs w:val="24"/>
        </w:rPr>
        <w:t xml:space="preserve">a.- Para los contratos y operaciones entre presentes; </w:t>
      </w:r>
    </w:p>
    <w:p w:rsidR="005F566E" w:rsidRPr="002A1420" w:rsidRDefault="005F566E" w:rsidP="002A1420">
      <w:pPr>
        <w:pStyle w:val="ListParagraph"/>
        <w:spacing w:line="360" w:lineRule="auto"/>
        <w:ind w:left="360"/>
        <w:jc w:val="both"/>
        <w:rPr>
          <w:rFonts w:ascii="Arial" w:hAnsi="Arial" w:cs="Arial"/>
          <w:sz w:val="24"/>
          <w:szCs w:val="24"/>
        </w:rPr>
      </w:pPr>
      <w:r w:rsidRPr="002A1420">
        <w:rPr>
          <w:rFonts w:ascii="Arial" w:hAnsi="Arial" w:cs="Arial"/>
          <w:sz w:val="24"/>
          <w:szCs w:val="24"/>
        </w:rPr>
        <w:t xml:space="preserve">b.- Para los contratos formalizados por correspondencia; </w:t>
      </w:r>
    </w:p>
    <w:p w:rsidR="005F566E" w:rsidRPr="002A1420" w:rsidRDefault="005F566E" w:rsidP="002A1420">
      <w:pPr>
        <w:pStyle w:val="ListParagraph"/>
        <w:spacing w:line="360" w:lineRule="auto"/>
        <w:ind w:left="360"/>
        <w:jc w:val="both"/>
        <w:rPr>
          <w:rFonts w:ascii="Arial" w:hAnsi="Arial" w:cs="Arial"/>
          <w:sz w:val="24"/>
          <w:szCs w:val="24"/>
        </w:rPr>
      </w:pPr>
      <w:r w:rsidRPr="002A1420">
        <w:rPr>
          <w:rFonts w:ascii="Arial" w:hAnsi="Arial" w:cs="Arial"/>
          <w:sz w:val="24"/>
          <w:szCs w:val="24"/>
        </w:rPr>
        <w:t>c.- Para las operaciones monetarias que representen entregas o recepciones de dinero que devenguen un interés efectuadas por entidades financieras reg</w:t>
      </w:r>
      <w:r>
        <w:rPr>
          <w:rFonts w:ascii="Arial" w:hAnsi="Arial" w:cs="Arial"/>
          <w:sz w:val="24"/>
          <w:szCs w:val="24"/>
        </w:rPr>
        <w:t>idas por la ley 21.526. En este</w:t>
      </w:r>
      <w:r w:rsidRPr="002A1420">
        <w:rPr>
          <w:rFonts w:ascii="Arial" w:hAnsi="Arial" w:cs="Arial"/>
          <w:sz w:val="24"/>
          <w:szCs w:val="24"/>
        </w:rPr>
        <w:t xml:space="preserve"> caso</w:t>
      </w:r>
      <w:r>
        <w:rPr>
          <w:rFonts w:ascii="Arial" w:hAnsi="Arial" w:cs="Arial"/>
          <w:sz w:val="24"/>
          <w:szCs w:val="24"/>
        </w:rPr>
        <w:t>,</w:t>
      </w:r>
      <w:r w:rsidRPr="002A1420">
        <w:rPr>
          <w:rFonts w:ascii="Arial" w:hAnsi="Arial" w:cs="Arial"/>
          <w:sz w:val="24"/>
          <w:szCs w:val="24"/>
        </w:rPr>
        <w:t xml:space="preserve"> el hecho imponible se exterioriza mediante la registración contable por parte de la entidad financiera, lo cual  nos lleva a afirmar que lo gravado son las operaciones, no la registración, pero exteriorizadas en registros contables.</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La adopción de la instrumentación como hecho imponible produce las siguientes consecuencias en el impuesto:</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a.- El impuesto nace por la sola creación y existencia material de los instrumentos respectivos, con abstracción de la validez, eficacia jurídica o posterior cumplimiento de los actos, contratos y operaciones allí contenidos.</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b.- Los actos sujetos a condición se entienden como puros y simples, lo relevante es la existencia material del instrumento, no la validez inmediata o condicionada del acto allí contenido.</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c.- Si en un mismo instrumento concurren varios actos jurídicos, el impuesto debe satisfacerse por cada uno de ellos de forma independiente, salvo disposición en contrario. </w:t>
      </w:r>
      <w:r w:rsidRPr="002A1420">
        <w:rPr>
          <w:rStyle w:val="FootnoteReference"/>
          <w:rFonts w:ascii="Arial" w:hAnsi="Arial" w:cs="Arial"/>
          <w:sz w:val="24"/>
          <w:szCs w:val="24"/>
        </w:rPr>
        <w:footnoteReference w:id="2"/>
      </w:r>
    </w:p>
    <w:p w:rsidR="005F566E" w:rsidRPr="002A1420" w:rsidRDefault="005F566E" w:rsidP="002A1420">
      <w:pPr>
        <w:pStyle w:val="ListParagraph"/>
        <w:spacing w:line="360" w:lineRule="auto"/>
        <w:jc w:val="both"/>
        <w:rPr>
          <w:rFonts w:ascii="Arial" w:hAnsi="Arial" w:cs="Arial"/>
          <w:sz w:val="24"/>
          <w:szCs w:val="24"/>
        </w:rPr>
      </w:pP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b/>
          <w:sz w:val="24"/>
          <w:szCs w:val="24"/>
        </w:rPr>
        <w:t>III.- Aspectos del Nuevo Código Civil y Comercial que influyen en el Impuesto de Sellos.</w:t>
      </w:r>
    </w:p>
    <w:p w:rsidR="005F566E" w:rsidRPr="002A1420" w:rsidRDefault="005F566E" w:rsidP="002A1420">
      <w:pPr>
        <w:pStyle w:val="ListParagraph"/>
        <w:spacing w:line="360" w:lineRule="auto"/>
        <w:ind w:left="0"/>
        <w:jc w:val="both"/>
        <w:rPr>
          <w:rFonts w:ascii="Arial" w:hAnsi="Arial" w:cs="Arial"/>
          <w:sz w:val="24"/>
          <w:szCs w:val="24"/>
        </w:rPr>
      </w:pP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III.1.- Diferenciación entre instrumentos privados y particulares no firmados.</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 xml:space="preserve"> </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 xml:space="preserve">Teniendo presente el concepto de instrumento que trae el artículo 9, tercer párrafo de la Ley de Coparticipación, podemos señalar que para que el impuesto de sellos pueda ser cobrado, los instrumentos en los actos, contratos y operaciones </w:t>
      </w:r>
      <w:r w:rsidRPr="002A1420">
        <w:rPr>
          <w:rFonts w:ascii="Arial" w:hAnsi="Arial" w:cs="Arial"/>
          <w:sz w:val="24"/>
          <w:szCs w:val="24"/>
          <w:u w:val="single"/>
        </w:rPr>
        <w:t>entre presentes</w:t>
      </w:r>
      <w:r w:rsidRPr="002A1420">
        <w:rPr>
          <w:rFonts w:ascii="Arial" w:hAnsi="Arial" w:cs="Arial"/>
          <w:sz w:val="24"/>
          <w:szCs w:val="24"/>
        </w:rPr>
        <w:t xml:space="preserve">, deberán: </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a.- Revestir los caracteres exteriores de título jurídico por el cual pueda ser exigido el cumplimiento de las obligaciones allí asumidas.</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b.-  Sin necesidad de otro documento</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c.- Con prescindencia de los actos que efectivamente realicen los contribuyentes.</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 xml:space="preserve">En los contratos por correspondencia, es decir, en las operaciones </w:t>
      </w:r>
      <w:r w:rsidRPr="002A1420">
        <w:rPr>
          <w:rFonts w:ascii="Arial" w:hAnsi="Arial" w:cs="Arial"/>
          <w:sz w:val="24"/>
          <w:szCs w:val="24"/>
          <w:u w:val="single"/>
        </w:rPr>
        <w:t>entre ausentes</w:t>
      </w:r>
      <w:r w:rsidRPr="002A1420">
        <w:rPr>
          <w:rFonts w:ascii="Arial" w:hAnsi="Arial" w:cs="Arial"/>
          <w:sz w:val="24"/>
          <w:szCs w:val="24"/>
        </w:rPr>
        <w:t>, se deberá:</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a.- Aceptar la propuesta o el pedido formulado por carta, cable o telegrama reproduciendo totalmente la propuesta o sus enunciaciones o elementos esenciales que permitan determinar el objeto del contrato.</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b.- Las propuestas o pedidos, o los presupuestos aplicados, deberán ser aceptados con firma del destinatario.</w:t>
      </w:r>
    </w:p>
    <w:p w:rsidR="005F566E" w:rsidRPr="002A1420" w:rsidRDefault="005F566E" w:rsidP="002A1420">
      <w:pPr>
        <w:pStyle w:val="ListParagraph"/>
        <w:spacing w:line="360" w:lineRule="auto"/>
        <w:ind w:left="0"/>
        <w:jc w:val="both"/>
        <w:rPr>
          <w:rFonts w:ascii="Arial" w:hAnsi="Arial" w:cs="Arial"/>
          <w:i/>
          <w:color w:val="000000"/>
          <w:sz w:val="24"/>
          <w:szCs w:val="24"/>
        </w:rPr>
      </w:pPr>
      <w:r w:rsidRPr="002A1420">
        <w:rPr>
          <w:rFonts w:ascii="Arial" w:hAnsi="Arial" w:cs="Arial"/>
          <w:sz w:val="24"/>
          <w:szCs w:val="24"/>
        </w:rPr>
        <w:t xml:space="preserve">Es de destacar, que el impuesto puede recaer tanto sobre instrumentos públicos como instrumentos privados, diferenciación que el Código Civil con anterioridad a la reforma de la Ley Nº 26.994, establecía en el artículo 978 al decir que </w:t>
      </w:r>
      <w:r w:rsidRPr="002A1420">
        <w:rPr>
          <w:rFonts w:ascii="Arial" w:hAnsi="Arial" w:cs="Arial"/>
          <w:i/>
          <w:sz w:val="24"/>
          <w:szCs w:val="24"/>
        </w:rPr>
        <w:t>“</w:t>
      </w:r>
      <w:r w:rsidRPr="002A1420">
        <w:rPr>
          <w:rFonts w:ascii="Arial" w:hAnsi="Arial" w:cs="Arial"/>
          <w:i/>
          <w:color w:val="000000"/>
          <w:sz w:val="24"/>
          <w:szCs w:val="24"/>
        </w:rPr>
        <w:t>La expresión por escrito puede tener lugar, o por instrumento público o por instrumentos particulares, salvo los casos en que la forma de instrumento público fuere exclusivamente dispuesta.”</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color w:val="000000"/>
          <w:sz w:val="24"/>
          <w:szCs w:val="24"/>
        </w:rPr>
        <w:t xml:space="preserve">Si bien utilizaba el término “instrumentos particulares”, luego a partir del artículo 979 regulaba los instrumentos públicos y a partir del artículo 1012, regulaba los instrumentos privados, como aquellos otorgados en forma privada y cuyo requisito esencial era llevar inserta la firma de las partes.  </w:t>
      </w:r>
    </w:p>
    <w:p w:rsidR="005F566E" w:rsidRPr="002A1420" w:rsidRDefault="005F566E" w:rsidP="002A1420">
      <w:pPr>
        <w:pStyle w:val="ListParagraph"/>
        <w:spacing w:line="360" w:lineRule="auto"/>
        <w:ind w:left="0"/>
        <w:jc w:val="both"/>
        <w:rPr>
          <w:rFonts w:ascii="Arial" w:hAnsi="Arial" w:cs="Arial"/>
          <w:i/>
          <w:sz w:val="24"/>
          <w:szCs w:val="24"/>
        </w:rPr>
      </w:pPr>
      <w:r w:rsidRPr="002A1420">
        <w:rPr>
          <w:rFonts w:ascii="Arial" w:hAnsi="Arial" w:cs="Arial"/>
          <w:sz w:val="24"/>
          <w:szCs w:val="24"/>
        </w:rPr>
        <w:t>En consonancia con lo allí dispuesto, en el artículo 1012 decía que:</w:t>
      </w:r>
      <w:r w:rsidRPr="002A1420">
        <w:rPr>
          <w:rFonts w:ascii="Arial" w:hAnsi="Arial" w:cs="Arial"/>
          <w:i/>
          <w:sz w:val="24"/>
          <w:szCs w:val="24"/>
        </w:rPr>
        <w:t xml:space="preserve"> “La firma de las partes es una condición esencial para la existencia de todo acto bajo forma privada. Ella no puede ser reemplazada por signos ni por las iníciales de los nombres o apellidos.”</w:t>
      </w:r>
    </w:p>
    <w:p w:rsidR="005F566E" w:rsidRPr="002A1420" w:rsidRDefault="005F566E" w:rsidP="002A1420">
      <w:pPr>
        <w:pStyle w:val="ListParagraph"/>
        <w:spacing w:line="360" w:lineRule="auto"/>
        <w:ind w:left="0"/>
        <w:jc w:val="both"/>
        <w:rPr>
          <w:rFonts w:ascii="Arial" w:hAnsi="Arial" w:cs="Arial"/>
          <w:i/>
          <w:sz w:val="24"/>
          <w:szCs w:val="24"/>
        </w:rPr>
      </w:pPr>
      <w:r w:rsidRPr="002A1420">
        <w:rPr>
          <w:rFonts w:ascii="Arial" w:hAnsi="Arial" w:cs="Arial"/>
          <w:sz w:val="24"/>
          <w:szCs w:val="24"/>
        </w:rPr>
        <w:t xml:space="preserve">El artículo 1014 señalaba: </w:t>
      </w:r>
      <w:r w:rsidRPr="002A1420">
        <w:rPr>
          <w:rFonts w:ascii="Arial" w:hAnsi="Arial" w:cs="Arial"/>
          <w:i/>
          <w:sz w:val="24"/>
          <w:szCs w:val="24"/>
        </w:rPr>
        <w:t>“Ninguna persona puede ser obligada a reconocer un instrumento que esté solo firmado por iníciales o signos, pero si el que así lo hubiese firmado lo reconociera voluntariamente, las iníciales o signos valen como la verdadera firma.”</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Claramente estas normas se referían a la firma ológrafa, de cuya inserción en el documento dependía su autenticidad y existencia del acto jurídico. Por ende, en los instrumentos privados, la firma era un elemento necesario para configurar la existencia de “instrumento” a los fines del impuesto de sellos, ya sea que la misma esté inserta en el instrumento -en el caso de actos o contratos entre presentes-, o bien, en la aceptación de una oferta, pedido o presupuesto, - en el caso de actos o contratos entre ausentes-.</w:t>
      </w:r>
      <w:r w:rsidRPr="002A1420">
        <w:rPr>
          <w:rStyle w:val="FootnoteReference"/>
          <w:rFonts w:ascii="Arial" w:hAnsi="Arial" w:cs="Arial"/>
          <w:sz w:val="24"/>
          <w:szCs w:val="24"/>
        </w:rPr>
        <w:footnoteReference w:id="3"/>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Ahora bien, el nuevo Código Civil y Comercial, modifica estos artículos:</w:t>
      </w:r>
    </w:p>
    <w:p w:rsidR="005F566E" w:rsidRPr="002A1420" w:rsidRDefault="005F566E" w:rsidP="002A1420">
      <w:pPr>
        <w:spacing w:line="360" w:lineRule="auto"/>
        <w:jc w:val="both"/>
        <w:rPr>
          <w:rFonts w:ascii="Arial" w:hAnsi="Arial" w:cs="Arial"/>
          <w:i/>
          <w:sz w:val="24"/>
          <w:szCs w:val="24"/>
        </w:rPr>
      </w:pPr>
      <w:r w:rsidRPr="002A1420">
        <w:rPr>
          <w:rFonts w:ascii="Arial" w:hAnsi="Arial" w:cs="Arial"/>
          <w:sz w:val="24"/>
          <w:szCs w:val="24"/>
        </w:rPr>
        <w:t xml:space="preserve">El artículo 286 señala: </w:t>
      </w:r>
      <w:r w:rsidRPr="002A1420">
        <w:rPr>
          <w:rFonts w:ascii="Arial" w:hAnsi="Arial" w:cs="Arial"/>
          <w:i/>
          <w:sz w:val="24"/>
          <w:szCs w:val="24"/>
        </w:rPr>
        <w:t>“La expresión escrita puede tener lugar por instrumentos públicos, o por instrumentos particulares firmados o no firmados, excepto en los casos en que determinada instrumentación sea impuesta. Puede hacerse constar en cualquier soporte, siempre que su contenido sea representado con texto inteligible, aunque su lectura exija medios técnicos.”</w:t>
      </w:r>
    </w:p>
    <w:p w:rsidR="005F566E" w:rsidRPr="002A1420" w:rsidRDefault="005F566E" w:rsidP="002A1420">
      <w:pPr>
        <w:spacing w:line="360" w:lineRule="auto"/>
        <w:jc w:val="both"/>
        <w:rPr>
          <w:rFonts w:ascii="Arial" w:hAnsi="Arial" w:cs="Arial"/>
          <w:i/>
          <w:sz w:val="24"/>
          <w:szCs w:val="24"/>
        </w:rPr>
      </w:pPr>
      <w:r w:rsidRPr="002A1420">
        <w:rPr>
          <w:rFonts w:ascii="Arial" w:hAnsi="Arial" w:cs="Arial"/>
          <w:sz w:val="24"/>
          <w:szCs w:val="24"/>
        </w:rPr>
        <w:t xml:space="preserve">Seguidamente el artículo 287 señala: </w:t>
      </w:r>
      <w:r w:rsidRPr="002A1420">
        <w:rPr>
          <w:rFonts w:ascii="Arial" w:hAnsi="Arial" w:cs="Arial"/>
          <w:i/>
          <w:sz w:val="24"/>
          <w:szCs w:val="24"/>
        </w:rPr>
        <w:t>“Los instrumentos particulares pueden estar firmados o no. Si lo están, se llaman instrumentos privados. Si no lo están, se los denomina instrumentos particulares no firmados; esta categoría comprende todo escrito no firmado, entre otros, los impresos, los registros visuales o auditivos de cosas o hechos y, cualquiera que sea el medio empleado, los registros de la palabra y de información.”</w:t>
      </w:r>
    </w:p>
    <w:p w:rsidR="005F566E" w:rsidRPr="002A1420" w:rsidRDefault="005F566E" w:rsidP="002A1420">
      <w:pPr>
        <w:spacing w:line="360" w:lineRule="auto"/>
        <w:jc w:val="both"/>
        <w:rPr>
          <w:rFonts w:ascii="Arial" w:hAnsi="Arial" w:cs="Arial"/>
          <w:i/>
          <w:sz w:val="24"/>
          <w:szCs w:val="24"/>
        </w:rPr>
      </w:pPr>
      <w:r w:rsidRPr="002A1420">
        <w:rPr>
          <w:rFonts w:ascii="Arial" w:hAnsi="Arial" w:cs="Arial"/>
          <w:sz w:val="24"/>
          <w:szCs w:val="24"/>
        </w:rPr>
        <w:t>Por su parte, el artículo 288 dice:</w:t>
      </w:r>
      <w:r w:rsidRPr="002A1420">
        <w:rPr>
          <w:rFonts w:ascii="Arial" w:hAnsi="Arial" w:cs="Arial"/>
          <w:i/>
          <w:sz w:val="24"/>
          <w:szCs w:val="24"/>
        </w:rPr>
        <w:t xml:space="preserve"> “La firma prueba la autoría de la declaración de voluntad expresada en el texto al cual corresponde. Debe consistir en el nombre del firmante o en un signo.</w:t>
      </w:r>
      <w:r w:rsidRPr="002A1420">
        <w:rPr>
          <w:rFonts w:ascii="Arial" w:hAnsi="Arial" w:cs="Arial"/>
          <w:i/>
          <w:sz w:val="24"/>
          <w:szCs w:val="24"/>
        </w:rPr>
        <w:br/>
        <w:t>En los instrumentos generados por medios electrónicos, el requisito de la firma de una persona queda satisfecho si se utiliza una firma digital, que asegure indubitablemente la autoría e integridad del instrumento.”</w:t>
      </w:r>
    </w:p>
    <w:p w:rsidR="005F566E" w:rsidRPr="002A1420" w:rsidRDefault="005F566E" w:rsidP="002A1420">
      <w:pPr>
        <w:spacing w:line="360" w:lineRule="auto"/>
        <w:jc w:val="both"/>
        <w:rPr>
          <w:rFonts w:ascii="Arial" w:hAnsi="Arial" w:cs="Arial"/>
          <w:i/>
          <w:sz w:val="24"/>
          <w:szCs w:val="24"/>
        </w:rPr>
      </w:pPr>
      <w:r w:rsidRPr="002A1420">
        <w:rPr>
          <w:rFonts w:ascii="Arial" w:hAnsi="Arial" w:cs="Arial"/>
          <w:sz w:val="24"/>
          <w:szCs w:val="24"/>
        </w:rPr>
        <w:t xml:space="preserve">Asimismo, en cuanto a la firma de los instrumentos privados el artículo 313 indica que: </w:t>
      </w:r>
      <w:r w:rsidRPr="002A1420">
        <w:rPr>
          <w:rFonts w:ascii="Arial" w:hAnsi="Arial" w:cs="Arial"/>
          <w:i/>
          <w:sz w:val="24"/>
          <w:szCs w:val="24"/>
        </w:rPr>
        <w:t>“Si alguno de los firmantes de un instrumento privado no sabe o no puede firmar, puede dejarse constancia de la impresión digital o mediante la presencia de dos testigos que deben suscribir también el instrumento.”</w:t>
      </w:r>
    </w:p>
    <w:p w:rsidR="005F566E" w:rsidRPr="002A1420" w:rsidRDefault="005F566E" w:rsidP="002A1420">
      <w:pPr>
        <w:spacing w:line="360" w:lineRule="auto"/>
        <w:jc w:val="both"/>
        <w:rPr>
          <w:rFonts w:ascii="Arial" w:hAnsi="Arial" w:cs="Arial"/>
          <w:sz w:val="24"/>
          <w:szCs w:val="24"/>
        </w:rPr>
      </w:pPr>
      <w:r w:rsidRPr="002A1420">
        <w:rPr>
          <w:rFonts w:ascii="Arial" w:hAnsi="Arial" w:cs="Arial"/>
          <w:i/>
          <w:sz w:val="24"/>
          <w:szCs w:val="24"/>
        </w:rPr>
        <w:t>C</w:t>
      </w:r>
      <w:r w:rsidRPr="002A1420">
        <w:rPr>
          <w:rFonts w:ascii="Arial" w:hAnsi="Arial" w:cs="Arial"/>
          <w:sz w:val="24"/>
          <w:szCs w:val="24"/>
        </w:rPr>
        <w:t>omo podemos observar hasta aquí, el nuevo Código Civil y Comercial hace una diferenciación -además de la clásica distinción entre instrumentos públicos y particulares-, que no existía en el anterior texto, entre instrumentos privados que deberán llevar la firma de las partes, y los particulares no firmados, en los que no se exige dicho requisito.</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A su vez, el nuevo texto admite a los signos como prueba de la declaración de voluntad expresada en el instrumento privado, cuando antes no lo permitía, salvo que voluntariamente la parte que así hubiese firmado lo reconociera.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De una interpretación armónica de las normas involucradas, se desprende que el Impuesto de Sellos, en el caso de instrumentos particulares, sólo podrá recaer sobre aquellos documentos firmados, los que según el nuevo Código Civil y Comercial, reciben el nombre de instrumentos privados. Por lo tanto, sólo en dicho caso, nos encontraremos en presencia de un “instrumento” en los términos de la Ley de Coparticipación, quedando fuera del ámbito de imposición del gravamen aquellos “documentos particulares no firmados”. </w:t>
      </w:r>
    </w:p>
    <w:p w:rsidR="005F566E" w:rsidRPr="002A1420" w:rsidRDefault="005F566E" w:rsidP="002A1420">
      <w:pPr>
        <w:spacing w:line="360" w:lineRule="auto"/>
        <w:jc w:val="both"/>
        <w:rPr>
          <w:rFonts w:ascii="Arial" w:hAnsi="Arial" w:cs="Arial"/>
          <w:b/>
          <w:sz w:val="24"/>
          <w:szCs w:val="24"/>
        </w:rPr>
      </w:pPr>
      <w:r w:rsidRPr="002A1420">
        <w:rPr>
          <w:rFonts w:ascii="Arial" w:hAnsi="Arial" w:cs="Arial"/>
          <w:b/>
          <w:sz w:val="24"/>
          <w:szCs w:val="24"/>
        </w:rPr>
        <w:t>III.2.- La firma digital</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 Como se viene reseñando, la imposición del tributo de sellos sólo se podrá llevar a cabo en aquellos instrumentos firmados, por lo que la firma es un elemento necesario para el nacimiento del instrumento a los fines de este impuesto. Ahora bien, al momento de referirse a la firma, el nuevo Código a través del artículo 288 no solo hace mención a la ológrafa y al instrumento como soporte “papel”, sino que incorpora a los instrumentos generados por medios electrónicos en los cuales se utilizará la firma digital.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Está incorporación se encuentra relacionada con la ley 25.506 “Ley de Firma Digital”. En la misma se comenta que, a través de dicha firma se  puede identificar al sujeto por la clave que incorpora al documento, el cual quedará encriptado y no podrá ser modificado si no se emplea dicha clave. De forma tal que la autoría y la autenticidad del contenido se presume hasta que se produzca una prueba en contrario</w:t>
      </w:r>
      <w:r w:rsidRPr="002A1420">
        <w:rPr>
          <w:rStyle w:val="FootnoteReference"/>
          <w:rFonts w:ascii="Arial" w:hAnsi="Arial" w:cs="Arial"/>
          <w:sz w:val="24"/>
          <w:szCs w:val="24"/>
        </w:rPr>
        <w:footnoteReference w:id="4"/>
      </w:r>
      <w:r w:rsidRPr="002A1420">
        <w:rPr>
          <w:rFonts w:ascii="Arial" w:hAnsi="Arial" w:cs="Arial"/>
          <w:sz w:val="24"/>
          <w:szCs w:val="24"/>
        </w:rPr>
        <w:t xml:space="preserve">.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 A su vez, la norma 25.506, iguala la firma manuscrita a la digital, en todas las disposiciones que impongan la obligación de firmar y también en aquellas que prescriben su ausencia. Por lo tanto, el documento digital con firma digital, se considera que cumple el requisito de autosuficiencia exigido por la Ley de Coparticipación en el impuesto de sellos, al tener la misma función que la rúbrica ológrafa.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Y aquí llegamos a un punto donde nos merece especial consideración la distinción de la firma electrónica de la digital, ya que la primera no cumple con los requisitos de autosuficiencia, en tanto requiere de la aceptación </w:t>
      </w:r>
      <w:r>
        <w:rPr>
          <w:rFonts w:ascii="Arial" w:hAnsi="Arial" w:cs="Arial"/>
          <w:sz w:val="24"/>
          <w:szCs w:val="24"/>
        </w:rPr>
        <w:t>f</w:t>
      </w:r>
      <w:r w:rsidRPr="002A1420">
        <w:rPr>
          <w:rFonts w:ascii="Arial" w:hAnsi="Arial" w:cs="Arial"/>
          <w:sz w:val="24"/>
          <w:szCs w:val="24"/>
        </w:rPr>
        <w:t>á</w:t>
      </w:r>
      <w:r>
        <w:rPr>
          <w:rFonts w:ascii="Arial" w:hAnsi="Arial" w:cs="Arial"/>
          <w:sz w:val="24"/>
          <w:szCs w:val="24"/>
        </w:rPr>
        <w:t>ct</w:t>
      </w:r>
      <w:r w:rsidRPr="002A1420">
        <w:rPr>
          <w:rFonts w:ascii="Arial" w:hAnsi="Arial" w:cs="Arial"/>
          <w:sz w:val="24"/>
          <w:szCs w:val="24"/>
        </w:rPr>
        <w:t>ica de la contraparte para ser considerada válida, careciendo de valor constitutivo del acto jurídico. En la firma electrónica, se cumple con el procedimiento técnico de generación pero carece de la emisión del certificado de validación, condición que sí tiene la firma digital, lo que implica que puede ser desconocida, en cuyo caso corresponde a quien la invoca acreditar su validez</w:t>
      </w:r>
      <w:r w:rsidRPr="002A1420">
        <w:rPr>
          <w:rStyle w:val="FootnoteReference"/>
          <w:rFonts w:ascii="Arial" w:hAnsi="Arial" w:cs="Arial"/>
          <w:sz w:val="24"/>
          <w:szCs w:val="24"/>
        </w:rPr>
        <w:footnoteReference w:id="5"/>
      </w:r>
      <w:r w:rsidRPr="002A1420">
        <w:rPr>
          <w:rFonts w:ascii="Arial" w:hAnsi="Arial" w:cs="Arial"/>
          <w:sz w:val="24"/>
          <w:szCs w:val="24"/>
        </w:rPr>
        <w:t xml:space="preserve">. </w:t>
      </w:r>
    </w:p>
    <w:p w:rsidR="005F566E" w:rsidRPr="002A1420" w:rsidRDefault="005F566E" w:rsidP="002A1420">
      <w:pPr>
        <w:spacing w:line="360" w:lineRule="auto"/>
        <w:jc w:val="both"/>
        <w:rPr>
          <w:rFonts w:ascii="Arial" w:hAnsi="Arial" w:cs="Arial"/>
          <w:color w:val="000000"/>
          <w:sz w:val="24"/>
          <w:szCs w:val="24"/>
        </w:rPr>
      </w:pPr>
      <w:r w:rsidRPr="002A1420">
        <w:rPr>
          <w:rFonts w:ascii="Arial" w:hAnsi="Arial" w:cs="Arial"/>
          <w:sz w:val="24"/>
          <w:szCs w:val="24"/>
        </w:rPr>
        <w:t xml:space="preserve">Es así, que existen diferencias no sólo desde el punto de vista técnico, sino también jurídico, ya que </w:t>
      </w:r>
      <w:r w:rsidRPr="002A1420">
        <w:rPr>
          <w:rFonts w:ascii="Arial" w:hAnsi="Arial" w:cs="Arial"/>
          <w:color w:val="000000"/>
          <w:sz w:val="24"/>
          <w:szCs w:val="24"/>
        </w:rPr>
        <w:t>mientras la firma digital prueba con carácter juris tantum, luego de recabados los certificados respectivos —sobre la existencia de la firma, el acuerdo con el contenido, su procedencia y el animus signando—, la firma electrónica sólo aporta un elemento probatorio al que se deberán agregar otras formas de acreditación para llegar a generar el vínculo jurídico. Si se trata de una firma digital, quien la niegue deberá probarlo; si se trata de firma electrónica, quien la aporta debe probar su autenticidad, procedencia e inalterabilidad, para luego generar el vínculo jurídico.</w:t>
      </w:r>
      <w:r w:rsidRPr="002A1420">
        <w:rPr>
          <w:rStyle w:val="FootnoteReference"/>
          <w:rFonts w:ascii="Arial" w:hAnsi="Arial" w:cs="Arial"/>
          <w:color w:val="000000"/>
          <w:sz w:val="24"/>
          <w:szCs w:val="24"/>
        </w:rPr>
        <w:footnoteReference w:id="6"/>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 xml:space="preserve">El Código Fiscal de la Ciudad Autónoma de Buenos Aires, T.O. 2015, dispone en su artículo 438 que “… </w:t>
      </w:r>
      <w:r w:rsidRPr="002A1420">
        <w:rPr>
          <w:rFonts w:ascii="Arial" w:hAnsi="Arial" w:cs="Arial"/>
          <w:i/>
          <w:sz w:val="24"/>
          <w:szCs w:val="24"/>
        </w:rPr>
        <w:t>los actos, contratos y operaciones realizados por correspondencia epistolar o telegráfica, correo electrónico, con firma electrónica o digital, están sujetos al pago del impuesto de sellos</w:t>
      </w:r>
      <w:r w:rsidRPr="002A1420">
        <w:rPr>
          <w:rFonts w:ascii="Arial" w:hAnsi="Arial" w:cs="Arial"/>
          <w:sz w:val="24"/>
          <w:szCs w:val="24"/>
        </w:rPr>
        <w:t>”. Coincidimos en este punto con el Dr. Rajmilovich</w:t>
      </w:r>
      <w:r w:rsidRPr="002A1420">
        <w:rPr>
          <w:rStyle w:val="FootnoteReference"/>
          <w:rFonts w:ascii="Arial" w:hAnsi="Arial" w:cs="Arial"/>
          <w:sz w:val="24"/>
          <w:szCs w:val="24"/>
        </w:rPr>
        <w:footnoteReference w:id="7"/>
      </w:r>
      <w:r w:rsidRPr="002A1420">
        <w:rPr>
          <w:rFonts w:ascii="Arial" w:hAnsi="Arial" w:cs="Arial"/>
          <w:sz w:val="24"/>
          <w:szCs w:val="24"/>
        </w:rPr>
        <w:t xml:space="preserve"> al considerar que dicha norma se extralimita respecto de las pautas estructurales a las que se comprometieron tanto las provincias como esa jurisdicción a través de la Ley de Coparticipación, ya que como hemos hecho mención, la misma requiere de la existencia de un instrumento, para la configuración del hecho imponible, y el mismo deberá estar firmado.  Es a partir de la entrada en vigor del nuevo Código Unificado, que la firma por signos y digital adquieren dimensión jurídica, no así la electrónica. Por lo que reflexionamos que la Ciudad sólo podría exigir el pago del tributo a través de dicha forma, recién a partir del 1º de Agosto del corriente año, no siendo susceptible de aplicación para los meses anteriores a éste. Y sumado a ello nos parece importante, la eliminación de la firma electrónica de la redacción, ya que como se reseñó</w:t>
      </w:r>
      <w:r>
        <w:rPr>
          <w:rFonts w:ascii="Arial" w:hAnsi="Arial" w:cs="Arial"/>
          <w:sz w:val="24"/>
          <w:szCs w:val="24"/>
        </w:rPr>
        <w:t>,</w:t>
      </w:r>
      <w:r w:rsidRPr="002A1420">
        <w:rPr>
          <w:rFonts w:ascii="Arial" w:hAnsi="Arial" w:cs="Arial"/>
          <w:sz w:val="24"/>
          <w:szCs w:val="24"/>
        </w:rPr>
        <w:t xml:space="preserve"> el instrumento digital con firma electrónica, no cumple con las condiciones establecidas en el artículo 9 de la Ley de Coparticipación siendo ilegítimo el tributo establecido por esa vía.  </w:t>
      </w:r>
    </w:p>
    <w:p w:rsidR="005F566E" w:rsidRDefault="005F566E" w:rsidP="002A1420">
      <w:pPr>
        <w:spacing w:line="360" w:lineRule="auto"/>
        <w:jc w:val="both"/>
        <w:rPr>
          <w:rFonts w:ascii="Arial" w:hAnsi="Arial" w:cs="Arial"/>
          <w:b/>
          <w:sz w:val="24"/>
          <w:szCs w:val="24"/>
        </w:rPr>
      </w:pPr>
    </w:p>
    <w:p w:rsidR="005F566E" w:rsidRPr="002A1420" w:rsidRDefault="005F566E" w:rsidP="002A1420">
      <w:pPr>
        <w:spacing w:line="360" w:lineRule="auto"/>
        <w:jc w:val="both"/>
        <w:rPr>
          <w:rFonts w:ascii="Arial" w:hAnsi="Arial" w:cs="Arial"/>
          <w:b/>
          <w:sz w:val="24"/>
          <w:szCs w:val="24"/>
        </w:rPr>
      </w:pPr>
      <w:r w:rsidRPr="002A1420">
        <w:rPr>
          <w:rFonts w:ascii="Arial" w:hAnsi="Arial" w:cs="Arial"/>
          <w:b/>
          <w:sz w:val="24"/>
          <w:szCs w:val="24"/>
        </w:rPr>
        <w:t xml:space="preserve">III.3.- Contratos por correspondencia. Momento de perfeccionamiento del hecho imponible. </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Tal como señalamos anteriormente en los contratos por correspondencia, la carta de aceptación queda alcanzada por el impuesto de sellos por su solo texto, sin necesidad de otros documentos ni actos de las partes, que revista los caracteres exteriores de un titulo jurídico, con el cual pueda ser exigido el cumplimiento de las obligaciones en ella consignadas.</w:t>
      </w:r>
      <w:r w:rsidRPr="002A1420">
        <w:rPr>
          <w:rStyle w:val="FootnoteReference"/>
          <w:rFonts w:ascii="Arial" w:hAnsi="Arial" w:cs="Arial"/>
          <w:sz w:val="24"/>
          <w:szCs w:val="24"/>
        </w:rPr>
        <w:footnoteReference w:id="8"/>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 xml:space="preserve">En este sentido, la mayoría de los Códigos Fiscales provinciales han establecido que la aceptación deberá reproducir totalmente la propuesta o sus enunciaciones o elementos esenciales que permitan determinar el objeto del contrato y que las propuestas o pedidos, o los presupuestos aplicados, deberán ser aceptados con firma del destinatario. </w:t>
      </w:r>
      <w:r w:rsidRPr="002A1420">
        <w:rPr>
          <w:rFonts w:ascii="Arial" w:hAnsi="Arial" w:cs="Arial"/>
          <w:color w:val="000000"/>
          <w:sz w:val="24"/>
          <w:szCs w:val="24"/>
          <w:shd w:val="clear" w:color="auto" w:fill="FCFAF9"/>
        </w:rPr>
        <w:t>Cualquier contrato que no cumpla con las condiciones  mencionadas no podrá ser considerado como hecho imponible del Impuesto de Sellos, ya que se estaría oponiendo al principio instrumental y convierte al Impuesto de Sellos en un tributo sobre las transacciones subyacentes no documentadas, que se superpone ilegítimamente al IVA y al impuesto sobre los ingresos brutos</w:t>
      </w:r>
      <w:r>
        <w:rPr>
          <w:rStyle w:val="FootnoteReference"/>
          <w:rFonts w:ascii="Arial" w:hAnsi="Arial"/>
          <w:color w:val="000000"/>
          <w:sz w:val="24"/>
          <w:szCs w:val="24"/>
          <w:shd w:val="clear" w:color="auto" w:fill="FCFAF9"/>
        </w:rPr>
        <w:footnoteReference w:id="9"/>
      </w:r>
      <w:r w:rsidRPr="002A1420">
        <w:rPr>
          <w:rFonts w:ascii="Arial" w:hAnsi="Arial" w:cs="Arial"/>
          <w:color w:val="000000"/>
          <w:sz w:val="24"/>
          <w:szCs w:val="24"/>
          <w:shd w:val="clear" w:color="auto" w:fill="FCFAF9"/>
        </w:rPr>
        <w:t>.</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Ahora bien, el Dr. Malvitano</w:t>
      </w:r>
      <w:r w:rsidRPr="002A1420">
        <w:rPr>
          <w:rStyle w:val="FootnoteReference"/>
          <w:rFonts w:ascii="Arial" w:hAnsi="Arial" w:cs="Arial"/>
          <w:sz w:val="24"/>
          <w:szCs w:val="24"/>
        </w:rPr>
        <w:footnoteReference w:id="10"/>
      </w:r>
      <w:r w:rsidRPr="002A1420">
        <w:rPr>
          <w:rFonts w:ascii="Arial" w:hAnsi="Arial" w:cs="Arial"/>
          <w:sz w:val="24"/>
          <w:szCs w:val="24"/>
        </w:rPr>
        <w:t xml:space="preserve"> señala que existen distintas posturas respecto de cuándo se perfecciona el consentimiento en las operaciones entre ausentes. Así señala sintéticamente a la </w:t>
      </w:r>
      <w:r w:rsidRPr="002A1420">
        <w:rPr>
          <w:rFonts w:ascii="Arial" w:hAnsi="Arial" w:cs="Arial"/>
          <w:i/>
          <w:sz w:val="24"/>
          <w:szCs w:val="24"/>
        </w:rPr>
        <w:t>Teoría de la declaración</w:t>
      </w:r>
      <w:r w:rsidRPr="002A1420">
        <w:rPr>
          <w:rFonts w:ascii="Arial" w:hAnsi="Arial" w:cs="Arial"/>
          <w:sz w:val="24"/>
          <w:szCs w:val="24"/>
        </w:rPr>
        <w:t xml:space="preserve">: cuando el destinatario de la oferta la acepta exteriorizando su voluntad en tal sentido; la de </w:t>
      </w:r>
      <w:r w:rsidRPr="002A1420">
        <w:rPr>
          <w:rFonts w:ascii="Arial" w:hAnsi="Arial" w:cs="Arial"/>
          <w:i/>
          <w:sz w:val="24"/>
          <w:szCs w:val="24"/>
        </w:rPr>
        <w:t>la Expedición:</w:t>
      </w:r>
      <w:r w:rsidRPr="002A1420">
        <w:rPr>
          <w:rFonts w:ascii="Arial" w:hAnsi="Arial" w:cs="Arial"/>
          <w:sz w:val="24"/>
          <w:szCs w:val="24"/>
        </w:rPr>
        <w:t xml:space="preserve"> cuando la declaración aceptando la oferta, es enviada al proponente; la de </w:t>
      </w:r>
      <w:r w:rsidRPr="002A1420">
        <w:rPr>
          <w:rFonts w:ascii="Arial" w:hAnsi="Arial" w:cs="Arial"/>
          <w:i/>
          <w:sz w:val="24"/>
          <w:szCs w:val="24"/>
        </w:rPr>
        <w:t xml:space="preserve">la Recepción: </w:t>
      </w:r>
      <w:r w:rsidRPr="002A1420">
        <w:rPr>
          <w:rFonts w:ascii="Arial" w:hAnsi="Arial" w:cs="Arial"/>
          <w:sz w:val="24"/>
          <w:szCs w:val="24"/>
        </w:rPr>
        <w:t xml:space="preserve">que exige que el oferente reciba o esté a su alcance recibir el documento donde consta la aceptación ya declarada y remitida por el aceptante, y la de </w:t>
      </w:r>
      <w:r w:rsidRPr="002A1420">
        <w:rPr>
          <w:rFonts w:ascii="Arial" w:hAnsi="Arial" w:cs="Arial"/>
          <w:i/>
          <w:sz w:val="24"/>
          <w:szCs w:val="24"/>
        </w:rPr>
        <w:t>la Información</w:t>
      </w:r>
      <w:r w:rsidRPr="002A1420">
        <w:rPr>
          <w:rFonts w:ascii="Arial" w:hAnsi="Arial" w:cs="Arial"/>
          <w:sz w:val="24"/>
          <w:szCs w:val="24"/>
        </w:rPr>
        <w:t>: que exige el efectivo conocimiento de la aceptación por el oferente con lo cual es el mutuo conocimiento de las declaraciones emitidas por cada parte lo que forma el acuerdo de voluntades. El mismo autor señala que la primera y la última representan los dos supuestos extremos, mientras que las otras dos resultan interpretaciones intermedias.</w:t>
      </w:r>
      <w:r w:rsidRPr="002A1420">
        <w:rPr>
          <w:rFonts w:ascii="Arial" w:hAnsi="Arial" w:cs="Arial"/>
          <w:i/>
          <w:sz w:val="24"/>
          <w:szCs w:val="24"/>
        </w:rPr>
        <w:t xml:space="preserve"> </w:t>
      </w:r>
      <w:r w:rsidRPr="002A1420">
        <w:rPr>
          <w:rFonts w:ascii="Arial" w:hAnsi="Arial" w:cs="Arial"/>
          <w:sz w:val="24"/>
          <w:szCs w:val="24"/>
        </w:rPr>
        <w:t xml:space="preserve"> Conocer la postura adoptada por nuestras leyes, no sólo nos permitirá conocer cuándo queda perfeccionado el acto jurídico, sino también el momento de perfeccionamiento del hecho imponible del Impuesto de Sellos. </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 xml:space="preserve">Así, nuestro anterior Código Civil, receptaba la Teoría de la Emisión, toda vez que el artículo 1.154 establecía que </w:t>
      </w:r>
      <w:r w:rsidRPr="002A1420">
        <w:rPr>
          <w:rFonts w:ascii="Arial" w:hAnsi="Arial" w:cs="Arial"/>
          <w:i/>
          <w:sz w:val="24"/>
          <w:szCs w:val="24"/>
        </w:rPr>
        <w:t>“La aceptación hace sólo perfecto el contrato desde que ella se hubiese mandado al proponente.”</w:t>
      </w:r>
      <w:r w:rsidRPr="002A1420">
        <w:rPr>
          <w:rFonts w:ascii="Arial" w:hAnsi="Arial" w:cs="Arial"/>
          <w:sz w:val="24"/>
          <w:szCs w:val="24"/>
        </w:rPr>
        <w:t xml:space="preserve"> Es decir, que con el envío de la aceptación, se perfeccionaba el contrato por correspondencia. </w:t>
      </w:r>
    </w:p>
    <w:p w:rsidR="005F566E" w:rsidRPr="002A1420" w:rsidRDefault="005F566E" w:rsidP="002A1420">
      <w:pPr>
        <w:pStyle w:val="ListParagraph"/>
        <w:spacing w:line="360" w:lineRule="auto"/>
        <w:ind w:left="0"/>
        <w:jc w:val="both"/>
        <w:rPr>
          <w:rFonts w:ascii="Arial" w:hAnsi="Arial" w:cs="Arial"/>
          <w:sz w:val="24"/>
          <w:szCs w:val="24"/>
        </w:rPr>
      </w:pPr>
      <w:r w:rsidRPr="002A1420">
        <w:rPr>
          <w:rFonts w:ascii="Arial" w:hAnsi="Arial" w:cs="Arial"/>
          <w:sz w:val="24"/>
          <w:szCs w:val="24"/>
        </w:rPr>
        <w:t>En línea con lo allí dispuesto, la mayoría de los Códigos Fiscales adoptaron la Teoría de la Emisión, para establecer el momento en que quedaba perfeccionado el nacimiento del hecho imponible del Impuesto de Sellos. Por ejemplo, la Ciudad de Buenos Aires, en el artículo 438 del Código  Fiscal T.O 2015 establece que en los actos, contratos y operaciones realizados por correspondencia epistolar o telegráfica, correo electrónico, con firma electrónica o digital, se entenderá configurado el hecho imponible con la creación del documento que exprese la voluntad de aceptación aunque no haya sido recibido por el oferente.</w:t>
      </w:r>
    </w:p>
    <w:p w:rsidR="005F566E" w:rsidRPr="002A1420" w:rsidRDefault="005F566E" w:rsidP="002A1420">
      <w:pPr>
        <w:spacing w:after="0" w:line="360" w:lineRule="auto"/>
        <w:jc w:val="both"/>
        <w:rPr>
          <w:rFonts w:ascii="Arial" w:hAnsi="Arial" w:cs="Arial"/>
          <w:sz w:val="24"/>
          <w:szCs w:val="24"/>
          <w:lang w:eastAsia="es-ES"/>
        </w:rPr>
      </w:pPr>
      <w:r w:rsidRPr="002A1420">
        <w:rPr>
          <w:rFonts w:ascii="Arial" w:hAnsi="Arial" w:cs="Arial"/>
          <w:sz w:val="24"/>
          <w:szCs w:val="24"/>
        </w:rPr>
        <w:t>Lo mismo ocurre en el caso de la Provincia de Buenos Aires, en el artículo 260 del Código Fiscal (Ley 10.397) al señalar que l</w:t>
      </w:r>
      <w:r w:rsidRPr="002A1420">
        <w:rPr>
          <w:rFonts w:ascii="Arial" w:hAnsi="Arial" w:cs="Arial"/>
          <w:sz w:val="24"/>
          <w:szCs w:val="24"/>
          <w:lang w:eastAsia="es-ES"/>
        </w:rPr>
        <w:t>os actos, contratos y operaciones realizados por correspondencia epistolar o telegráfica, están sujetos al pago del impuesto de Sellos desde el momento en que se formule la aceptación de la oferta, documento que perfecciona la instrumentación del acto.</w:t>
      </w:r>
    </w:p>
    <w:p w:rsidR="005F566E" w:rsidRPr="002A1420" w:rsidRDefault="005F566E" w:rsidP="002A1420">
      <w:pPr>
        <w:spacing w:after="0" w:line="360" w:lineRule="auto"/>
        <w:jc w:val="both"/>
        <w:rPr>
          <w:rFonts w:ascii="Arial" w:hAnsi="Arial" w:cs="Arial"/>
          <w:sz w:val="24"/>
          <w:szCs w:val="24"/>
          <w:lang w:eastAsia="es-ES"/>
        </w:rPr>
      </w:pPr>
      <w:r w:rsidRPr="002A1420">
        <w:rPr>
          <w:rFonts w:ascii="Arial" w:hAnsi="Arial" w:cs="Arial"/>
          <w:sz w:val="24"/>
          <w:szCs w:val="24"/>
          <w:lang w:eastAsia="es-ES"/>
        </w:rPr>
        <w:t xml:space="preserve">Cuando decimos que la mayoría de las legislaciones provinciales, han adoptado este criterio, es porque existen algunas pocas provincias (Formosa, Jujuy, Misiones y Santa Cruz), que adoptaron la Teoría de la Recepción, es decir que  requieren la </w:t>
      </w:r>
      <w:r w:rsidRPr="002A1420">
        <w:rPr>
          <w:rFonts w:ascii="Arial" w:hAnsi="Arial" w:cs="Arial"/>
          <w:color w:val="000000"/>
          <w:sz w:val="24"/>
          <w:szCs w:val="24"/>
          <w:shd w:val="clear" w:color="auto" w:fill="FCFAF9"/>
        </w:rPr>
        <w:t>recepción por parte del oferente de la aceptación.</w:t>
      </w:r>
    </w:p>
    <w:p w:rsidR="005F566E" w:rsidRPr="002A1420" w:rsidRDefault="005F566E" w:rsidP="002A1420">
      <w:pPr>
        <w:spacing w:after="0" w:line="360" w:lineRule="auto"/>
        <w:jc w:val="both"/>
        <w:rPr>
          <w:rFonts w:ascii="Arial" w:hAnsi="Arial" w:cs="Arial"/>
          <w:i/>
          <w:sz w:val="24"/>
          <w:szCs w:val="24"/>
        </w:rPr>
      </w:pPr>
      <w:r w:rsidRPr="002A1420">
        <w:rPr>
          <w:rFonts w:ascii="Arial" w:hAnsi="Arial" w:cs="Arial"/>
          <w:sz w:val="24"/>
          <w:szCs w:val="24"/>
          <w:lang w:eastAsia="es-ES"/>
        </w:rPr>
        <w:t xml:space="preserve">Ahora bien, con la modificación efectuada por la ley 26.994, el nuevo Código Civil y Comercial adoptó la posición contraria a la desarrollada en la anterior norma de fondo, ya que siguió la Teoría de la Recepción. El actual artículo </w:t>
      </w:r>
      <w:r w:rsidRPr="002A1420">
        <w:rPr>
          <w:rFonts w:ascii="Arial" w:hAnsi="Arial" w:cs="Arial"/>
          <w:sz w:val="24"/>
          <w:szCs w:val="24"/>
        </w:rPr>
        <w:t xml:space="preserve">971 dice: </w:t>
      </w:r>
      <w:r w:rsidRPr="002A1420">
        <w:rPr>
          <w:rFonts w:ascii="Arial" w:hAnsi="Arial" w:cs="Arial"/>
          <w:i/>
          <w:sz w:val="24"/>
          <w:szCs w:val="24"/>
        </w:rPr>
        <w:t>“Los contratos se concluyen con la recepción de la aceptación de una oferta o por una conducta de las partes que sea suficiente para demostrar la existencia de un acuerdo.”</w:t>
      </w:r>
      <w:r w:rsidRPr="002A1420">
        <w:rPr>
          <w:rFonts w:ascii="Arial" w:hAnsi="Arial" w:cs="Arial"/>
          <w:i/>
          <w:sz w:val="24"/>
          <w:szCs w:val="24"/>
        </w:rPr>
        <w:br/>
      </w:r>
      <w:r w:rsidRPr="002A1420">
        <w:rPr>
          <w:rFonts w:ascii="Arial" w:hAnsi="Arial" w:cs="Arial"/>
          <w:sz w:val="24"/>
          <w:szCs w:val="24"/>
        </w:rPr>
        <w:t>Asimismo, el artículo 980, referido al perfeccionamiento señala que: “</w:t>
      </w:r>
      <w:r w:rsidRPr="002A1420">
        <w:rPr>
          <w:rFonts w:ascii="Arial" w:hAnsi="Arial" w:cs="Arial"/>
          <w:i/>
          <w:sz w:val="24"/>
          <w:szCs w:val="24"/>
        </w:rPr>
        <w:t>La aceptación perfecciona el contrato: a) entre presentes, cuando es manifestada;</w:t>
      </w:r>
      <w:r w:rsidRPr="002A1420">
        <w:rPr>
          <w:rFonts w:ascii="Arial" w:hAnsi="Arial" w:cs="Arial"/>
          <w:i/>
          <w:sz w:val="24"/>
          <w:szCs w:val="24"/>
        </w:rPr>
        <w:br/>
        <w:t>b) entre ausentes, si es recibida por el proponente durante el plazo de vigencia de la oferta.”</w:t>
      </w:r>
    </w:p>
    <w:p w:rsidR="005F566E" w:rsidRPr="002A1420" w:rsidRDefault="005F566E" w:rsidP="002A1420">
      <w:pPr>
        <w:spacing w:after="0" w:line="360" w:lineRule="auto"/>
        <w:jc w:val="both"/>
        <w:rPr>
          <w:rFonts w:ascii="Arial" w:hAnsi="Arial" w:cs="Arial"/>
          <w:sz w:val="24"/>
          <w:szCs w:val="24"/>
        </w:rPr>
      </w:pPr>
      <w:r w:rsidRPr="002A1420">
        <w:rPr>
          <w:rFonts w:ascii="Arial" w:hAnsi="Arial" w:cs="Arial"/>
          <w:sz w:val="24"/>
          <w:szCs w:val="24"/>
        </w:rPr>
        <w:t xml:space="preserve"> Este cambio rotundo de postura, provoca que la mayoría de las legislaciones provinciales hoy se encuentren en contraposición con lo dispuesto por el nuevo Código Civil y Comercial, por cuanto existe un desajuste entre el momento en que la norma de fondo señala como perfeccionamiento del contrato celebrado por correspondencia y aquel dispuesto por la norma fiscal como nacimiento del hecho imponible del impuesto de sellos, que recordemos es meramente instrumental. Por lo tanto, aquellas Provincias que seguían la Teoría de la Emisión y la Ciudad Autónoma de Buenos Aires quedan obligadas a adaptar próximamente sus textos, al nuevo criterio adoptado, para quedar en línea con lo regulado por el nuevo Código. </w:t>
      </w:r>
    </w:p>
    <w:p w:rsidR="005F566E" w:rsidRPr="002A1420" w:rsidRDefault="005F566E" w:rsidP="002A1420">
      <w:pPr>
        <w:spacing w:line="360" w:lineRule="auto"/>
        <w:jc w:val="both"/>
        <w:rPr>
          <w:rFonts w:ascii="Arial" w:hAnsi="Arial" w:cs="Arial"/>
          <w:b/>
          <w:sz w:val="24"/>
          <w:szCs w:val="24"/>
        </w:rPr>
      </w:pPr>
    </w:p>
    <w:p w:rsidR="005F566E" w:rsidRPr="002A1420" w:rsidRDefault="005F566E" w:rsidP="002A1420">
      <w:pPr>
        <w:spacing w:line="360" w:lineRule="auto"/>
        <w:jc w:val="both"/>
        <w:rPr>
          <w:rFonts w:ascii="Arial" w:hAnsi="Arial" w:cs="Arial"/>
          <w:b/>
          <w:sz w:val="24"/>
          <w:szCs w:val="24"/>
        </w:rPr>
      </w:pPr>
      <w:r w:rsidRPr="002A1420">
        <w:rPr>
          <w:rFonts w:ascii="Arial" w:hAnsi="Arial" w:cs="Arial"/>
          <w:b/>
          <w:sz w:val="24"/>
          <w:szCs w:val="24"/>
        </w:rPr>
        <w:t>IV.- Conclusiones</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A la luz de lo aquí desarrollado no caben dudas respecto de  la influencia del  nuevo Código Civil y Comercial sobre el impuesto de sellos. Por lo que concluimos, que las modificaciones más relevantes, a nuestro entender, son las siguientes:</w:t>
      </w:r>
    </w:p>
    <w:p w:rsidR="005F566E" w:rsidRPr="002A1420" w:rsidRDefault="005F566E" w:rsidP="002A1420">
      <w:pPr>
        <w:pStyle w:val="ListParagraph"/>
        <w:numPr>
          <w:ilvl w:val="0"/>
          <w:numId w:val="20"/>
        </w:numPr>
        <w:spacing w:line="360" w:lineRule="auto"/>
        <w:jc w:val="both"/>
        <w:rPr>
          <w:rFonts w:ascii="Arial" w:hAnsi="Arial" w:cs="Arial"/>
          <w:sz w:val="24"/>
          <w:szCs w:val="24"/>
        </w:rPr>
      </w:pPr>
      <w:r w:rsidRPr="002A1420">
        <w:rPr>
          <w:rFonts w:ascii="Arial" w:hAnsi="Arial" w:cs="Arial"/>
          <w:sz w:val="24"/>
          <w:szCs w:val="24"/>
        </w:rPr>
        <w:t>La diferenciación entre instrumentos privados y particulares no firmados, pudiendo solo los primeros ser alcanzados por el tributo.</w:t>
      </w:r>
    </w:p>
    <w:p w:rsidR="005F566E" w:rsidRPr="002A1420" w:rsidRDefault="005F566E" w:rsidP="002A1420">
      <w:pPr>
        <w:pStyle w:val="ListParagraph"/>
        <w:numPr>
          <w:ilvl w:val="0"/>
          <w:numId w:val="20"/>
        </w:numPr>
        <w:spacing w:line="360" w:lineRule="auto"/>
        <w:jc w:val="both"/>
        <w:rPr>
          <w:rFonts w:ascii="Arial" w:hAnsi="Arial" w:cs="Arial"/>
          <w:sz w:val="24"/>
          <w:szCs w:val="24"/>
        </w:rPr>
      </w:pPr>
      <w:r w:rsidRPr="002A1420">
        <w:rPr>
          <w:rFonts w:ascii="Arial" w:hAnsi="Arial" w:cs="Arial"/>
          <w:sz w:val="24"/>
          <w:szCs w:val="24"/>
        </w:rPr>
        <w:t>La inclusión por el nuevo Código, en el artículo 288,  de los signos, como firma de un instrumento, encontrándose entonces alcanzados tanto los documentos  escritos firmados, como aquellos que contengan</w:t>
      </w:r>
      <w:r>
        <w:rPr>
          <w:rFonts w:ascii="Arial" w:hAnsi="Arial" w:cs="Arial"/>
          <w:sz w:val="24"/>
          <w:szCs w:val="24"/>
        </w:rPr>
        <w:t xml:space="preserve"> signos o</w:t>
      </w:r>
      <w:r w:rsidRPr="002A1420">
        <w:rPr>
          <w:rFonts w:ascii="Arial" w:hAnsi="Arial" w:cs="Arial"/>
          <w:sz w:val="24"/>
          <w:szCs w:val="24"/>
        </w:rPr>
        <w:t xml:space="preserve"> in</w:t>
      </w:r>
      <w:r>
        <w:rPr>
          <w:rFonts w:ascii="Arial" w:hAnsi="Arial" w:cs="Arial"/>
          <w:sz w:val="24"/>
          <w:szCs w:val="24"/>
        </w:rPr>
        <w:t>i</w:t>
      </w:r>
      <w:r w:rsidRPr="002A1420">
        <w:rPr>
          <w:rFonts w:ascii="Arial" w:hAnsi="Arial" w:cs="Arial"/>
          <w:sz w:val="24"/>
          <w:szCs w:val="24"/>
        </w:rPr>
        <w:t>ciales. Esto representará una dificultad para el fisco y las partes, a la hora de atribuir la inicial a un sujeto que tenga capacidad para obligar a la empresa en la contratación con terceros.</w:t>
      </w:r>
    </w:p>
    <w:p w:rsidR="005F566E" w:rsidRPr="002A1420" w:rsidRDefault="005F566E" w:rsidP="002A1420">
      <w:pPr>
        <w:pStyle w:val="ListParagraph"/>
        <w:numPr>
          <w:ilvl w:val="0"/>
          <w:numId w:val="20"/>
        </w:numPr>
        <w:spacing w:line="360" w:lineRule="auto"/>
        <w:jc w:val="both"/>
        <w:rPr>
          <w:rFonts w:ascii="Arial" w:hAnsi="Arial" w:cs="Arial"/>
          <w:sz w:val="24"/>
          <w:szCs w:val="24"/>
        </w:rPr>
      </w:pPr>
      <w:r w:rsidRPr="002A1420">
        <w:rPr>
          <w:rFonts w:ascii="Arial" w:hAnsi="Arial" w:cs="Arial"/>
          <w:sz w:val="24"/>
          <w:szCs w:val="24"/>
        </w:rPr>
        <w:t>La incorporación de los instrumentos generados por medios electrónicos, con firma digital, debiéndose cumplir los requisitos establecidos en la Ley 25.506. Solo los documentos digitales con firma digital están alcanzados por el impuesto de sellos, no así aquellos con firma electrónica.</w:t>
      </w:r>
    </w:p>
    <w:p w:rsidR="005F566E" w:rsidRPr="002A1420" w:rsidRDefault="005F566E" w:rsidP="002A1420">
      <w:pPr>
        <w:pStyle w:val="ListParagraph"/>
        <w:numPr>
          <w:ilvl w:val="0"/>
          <w:numId w:val="20"/>
        </w:numPr>
        <w:spacing w:line="360" w:lineRule="auto"/>
        <w:jc w:val="both"/>
        <w:rPr>
          <w:rFonts w:ascii="Arial" w:hAnsi="Arial" w:cs="Arial"/>
          <w:sz w:val="24"/>
          <w:szCs w:val="24"/>
        </w:rPr>
      </w:pPr>
      <w:r w:rsidRPr="002A1420">
        <w:rPr>
          <w:rFonts w:ascii="Arial" w:hAnsi="Arial" w:cs="Arial"/>
          <w:sz w:val="24"/>
          <w:szCs w:val="24"/>
        </w:rPr>
        <w:t>La equiparación de la firma digital a la ológrafa, como prueba de la autoría de la declaración de voluntad expresada en un documento, excluye a la firma electrónica del ámbito de imposición del gravamen tratado, toda vez que no se satisface el requisito de instrumento autosuficiente. Por lo que aquellas legislaciones que  tengan incorporado a los instrumentos con firma electrónica, deberán ser reformadas por violar la Ley de Coparticipación.</w:t>
      </w:r>
    </w:p>
    <w:p w:rsidR="005F566E" w:rsidRPr="002A1420" w:rsidRDefault="005F566E" w:rsidP="002A1420">
      <w:pPr>
        <w:pStyle w:val="ListParagraph"/>
        <w:numPr>
          <w:ilvl w:val="0"/>
          <w:numId w:val="20"/>
        </w:numPr>
        <w:spacing w:line="360" w:lineRule="auto"/>
        <w:jc w:val="both"/>
        <w:rPr>
          <w:rFonts w:ascii="Arial" w:hAnsi="Arial" w:cs="Arial"/>
          <w:sz w:val="24"/>
          <w:szCs w:val="24"/>
        </w:rPr>
      </w:pPr>
      <w:r w:rsidRPr="002A1420">
        <w:rPr>
          <w:rFonts w:ascii="Arial" w:hAnsi="Arial" w:cs="Arial"/>
          <w:sz w:val="24"/>
          <w:szCs w:val="24"/>
        </w:rPr>
        <w:t>La adopción por parte del nuevo Código de la Teoría de la Recepción, en las contrataciones entre ausentes, quedando perfeccionado el contrato cuando el oferente reciba la aceptación de la oferta; lo que provoca la adaptación de aquellos Códigos Fiscales que en la actualidad tengan receptada la Teoría de la Emisión, para la configuración del hecho imponible del impuesto de sellos.</w:t>
      </w:r>
    </w:p>
    <w:p w:rsidR="005F566E" w:rsidRPr="002A1420" w:rsidRDefault="005F566E" w:rsidP="002A1420">
      <w:pPr>
        <w:spacing w:line="360" w:lineRule="auto"/>
        <w:jc w:val="both"/>
        <w:rPr>
          <w:rFonts w:ascii="Arial" w:hAnsi="Arial" w:cs="Arial"/>
          <w:sz w:val="24"/>
          <w:szCs w:val="24"/>
        </w:rPr>
      </w:pPr>
      <w:r w:rsidRPr="002A1420">
        <w:rPr>
          <w:rFonts w:ascii="Arial" w:hAnsi="Arial" w:cs="Arial"/>
          <w:sz w:val="24"/>
          <w:szCs w:val="24"/>
        </w:rPr>
        <w:t>Dada la temprana entrada en vigencia del nuevo Código Civil y Comercial, debemos aguardar al próximo año, para ver si efectivamente las legislaciones locales adaptaron sus textos a las nuevas disposiciones, como así también para conocer el comportamiento del Fisco a la hora de aplicarlas.</w:t>
      </w:r>
    </w:p>
    <w:p w:rsidR="005F566E" w:rsidRDefault="005F566E" w:rsidP="008E70EC">
      <w:pPr>
        <w:spacing w:line="360" w:lineRule="auto"/>
        <w:jc w:val="both"/>
        <w:rPr>
          <w:rFonts w:ascii="Arial" w:hAnsi="Arial" w:cs="Arial"/>
        </w:rPr>
      </w:pPr>
      <w:r w:rsidRPr="0091070E">
        <w:rPr>
          <w:rFonts w:ascii="Arial" w:hAnsi="Arial" w:cs="Arial"/>
          <w:b/>
          <w:sz w:val="24"/>
          <w:szCs w:val="24"/>
        </w:rPr>
        <w:t>V.-</w:t>
      </w:r>
      <w:r w:rsidRPr="00BC3EF5">
        <w:rPr>
          <w:rFonts w:ascii="Arial" w:hAnsi="Arial" w:cs="Arial"/>
          <w:b/>
          <w:sz w:val="24"/>
          <w:szCs w:val="24"/>
        </w:rPr>
        <w:t xml:space="preserve"> Bibliografía:</w:t>
      </w:r>
      <w:r>
        <w:rPr>
          <w:rFonts w:ascii="Arial" w:hAnsi="Arial" w:cs="Arial"/>
        </w:rPr>
        <w:t xml:space="preserve"> </w:t>
      </w:r>
    </w:p>
    <w:p w:rsidR="005F566E" w:rsidRPr="0091070E" w:rsidRDefault="005F566E" w:rsidP="00D81264">
      <w:pPr>
        <w:numPr>
          <w:ilvl w:val="0"/>
          <w:numId w:val="19"/>
        </w:numPr>
        <w:spacing w:line="360" w:lineRule="auto"/>
        <w:jc w:val="both"/>
        <w:rPr>
          <w:rFonts w:ascii="Arial" w:hAnsi="Arial" w:cs="Arial"/>
          <w:sz w:val="24"/>
          <w:szCs w:val="24"/>
        </w:rPr>
      </w:pPr>
      <w:r w:rsidRPr="0091070E">
        <w:rPr>
          <w:rFonts w:ascii="Arial" w:hAnsi="Arial" w:cs="Arial"/>
          <w:sz w:val="24"/>
          <w:szCs w:val="24"/>
        </w:rPr>
        <w:t>BERTAZZA,</w:t>
      </w:r>
      <w:r>
        <w:rPr>
          <w:rFonts w:ascii="Arial" w:hAnsi="Arial" w:cs="Arial"/>
          <w:sz w:val="24"/>
          <w:szCs w:val="24"/>
        </w:rPr>
        <w:t xml:space="preserve"> </w:t>
      </w:r>
      <w:r w:rsidRPr="0091070E">
        <w:rPr>
          <w:rFonts w:ascii="Arial" w:hAnsi="Arial" w:cs="Arial"/>
          <w:sz w:val="24"/>
          <w:szCs w:val="24"/>
        </w:rPr>
        <w:t>Humberto, “</w:t>
      </w:r>
      <w:r w:rsidRPr="0091070E">
        <w:rPr>
          <w:rFonts w:ascii="Arial" w:hAnsi="Arial" w:cs="Arial"/>
          <w:i/>
          <w:sz w:val="24"/>
          <w:szCs w:val="24"/>
        </w:rPr>
        <w:t>EL CÓDIGO UNIFICADO Y SUS IMPLICANCIAS TRIBUTARIAS</w:t>
      </w:r>
      <w:r w:rsidRPr="0091070E">
        <w:rPr>
          <w:rFonts w:ascii="Arial" w:hAnsi="Arial" w:cs="Arial"/>
          <w:sz w:val="24"/>
          <w:szCs w:val="24"/>
        </w:rPr>
        <w:t xml:space="preserve">”, Thomsom Reuters, La Ley On Line, publicado en diario La Nación, 30 de Agosto 2015. </w:t>
      </w:r>
    </w:p>
    <w:p w:rsidR="005F566E" w:rsidRPr="0091070E" w:rsidRDefault="005F566E" w:rsidP="00D81264">
      <w:pPr>
        <w:numPr>
          <w:ilvl w:val="0"/>
          <w:numId w:val="19"/>
        </w:numPr>
        <w:spacing w:line="360" w:lineRule="auto"/>
        <w:jc w:val="both"/>
        <w:rPr>
          <w:rFonts w:ascii="Arial" w:hAnsi="Arial" w:cs="Arial"/>
          <w:sz w:val="24"/>
          <w:szCs w:val="24"/>
        </w:rPr>
      </w:pPr>
      <w:r w:rsidRPr="0091070E">
        <w:rPr>
          <w:rFonts w:ascii="Arial" w:hAnsi="Arial" w:cs="Arial"/>
          <w:sz w:val="24"/>
          <w:szCs w:val="24"/>
        </w:rPr>
        <w:t xml:space="preserve">GERMAIN Pablo C. y KUSA, Liban Angel, </w:t>
      </w:r>
      <w:r w:rsidRPr="0091070E">
        <w:rPr>
          <w:rFonts w:ascii="Arial" w:hAnsi="Arial" w:cs="Arial"/>
          <w:i/>
          <w:sz w:val="24"/>
          <w:szCs w:val="24"/>
        </w:rPr>
        <w:t>“No gravabilidad de los contratos celebrados por aceptación tácita y en la privatización del gas”</w:t>
      </w:r>
      <w:r w:rsidRPr="0091070E">
        <w:rPr>
          <w:rFonts w:ascii="Arial" w:hAnsi="Arial" w:cs="Arial"/>
          <w:sz w:val="24"/>
          <w:szCs w:val="24"/>
        </w:rPr>
        <w:t>,</w:t>
      </w:r>
      <w:r>
        <w:rPr>
          <w:rFonts w:ascii="Arial" w:hAnsi="Arial" w:cs="Arial"/>
          <w:sz w:val="24"/>
          <w:szCs w:val="24"/>
        </w:rPr>
        <w:t xml:space="preserve"> publicado en</w:t>
      </w:r>
      <w:r w:rsidRPr="0091070E">
        <w:rPr>
          <w:rFonts w:ascii="Arial" w:hAnsi="Arial" w:cs="Arial"/>
          <w:sz w:val="24"/>
          <w:szCs w:val="24"/>
        </w:rPr>
        <w:t xml:space="preserve"> www.cronista.com, 16/05/2004</w:t>
      </w:r>
    </w:p>
    <w:p w:rsidR="005F566E" w:rsidRPr="0091070E" w:rsidRDefault="005F566E" w:rsidP="00D81264">
      <w:pPr>
        <w:numPr>
          <w:ilvl w:val="0"/>
          <w:numId w:val="19"/>
        </w:numPr>
        <w:spacing w:line="360" w:lineRule="auto"/>
        <w:jc w:val="both"/>
        <w:rPr>
          <w:rFonts w:ascii="Arial" w:hAnsi="Arial" w:cs="Arial"/>
          <w:sz w:val="24"/>
          <w:szCs w:val="24"/>
        </w:rPr>
      </w:pPr>
      <w:r w:rsidRPr="0091070E">
        <w:rPr>
          <w:rFonts w:ascii="Arial" w:hAnsi="Arial" w:cs="Arial"/>
          <w:sz w:val="24"/>
          <w:szCs w:val="24"/>
        </w:rPr>
        <w:t>MALVITANO, Rubén Horacio, “</w:t>
      </w:r>
      <w:r w:rsidRPr="0091070E">
        <w:rPr>
          <w:rFonts w:ascii="Arial" w:hAnsi="Arial" w:cs="Arial"/>
          <w:i/>
          <w:sz w:val="24"/>
          <w:szCs w:val="24"/>
        </w:rPr>
        <w:t>EL IMPUESTO DE SELLOS Y LA CONCERTACIÓN ELECTRÓNICA</w:t>
      </w:r>
      <w:r w:rsidRPr="0091070E">
        <w:rPr>
          <w:rFonts w:ascii="Arial" w:hAnsi="Arial" w:cs="Arial"/>
          <w:sz w:val="24"/>
          <w:szCs w:val="24"/>
        </w:rPr>
        <w:t>”, II Jornadas de Derecho Tributario Provincial y Municipal, Asociación Argentina de Estudios Fiscales, Julio 2015.</w:t>
      </w:r>
    </w:p>
    <w:p w:rsidR="005F566E" w:rsidRPr="0091070E" w:rsidRDefault="005F566E" w:rsidP="004D5FBD">
      <w:pPr>
        <w:numPr>
          <w:ilvl w:val="0"/>
          <w:numId w:val="19"/>
        </w:numPr>
        <w:spacing w:line="360" w:lineRule="auto"/>
        <w:jc w:val="both"/>
        <w:rPr>
          <w:rFonts w:ascii="Arial" w:hAnsi="Arial" w:cs="Arial"/>
          <w:sz w:val="24"/>
          <w:szCs w:val="24"/>
        </w:rPr>
      </w:pPr>
      <w:r w:rsidRPr="0091070E">
        <w:rPr>
          <w:rFonts w:ascii="Arial" w:hAnsi="Arial" w:cs="Arial"/>
          <w:sz w:val="24"/>
          <w:szCs w:val="24"/>
        </w:rPr>
        <w:t>MARTIN, Julián, “</w:t>
      </w:r>
      <w:r w:rsidRPr="0091070E">
        <w:rPr>
          <w:rFonts w:ascii="Arial" w:hAnsi="Arial" w:cs="Arial"/>
          <w:i/>
          <w:sz w:val="24"/>
          <w:szCs w:val="24"/>
        </w:rPr>
        <w:t>EL IMPUESTO DE SELLOS  ANTE EL CÓDIGO CIVIL Y COMERCIAL</w:t>
      </w:r>
      <w:r w:rsidRPr="0091070E">
        <w:rPr>
          <w:rFonts w:ascii="Arial" w:hAnsi="Arial" w:cs="Arial"/>
          <w:sz w:val="24"/>
          <w:szCs w:val="24"/>
        </w:rPr>
        <w:t xml:space="preserve">”, La Ley Checkpoint. </w:t>
      </w:r>
    </w:p>
    <w:p w:rsidR="005F566E" w:rsidRPr="0091070E" w:rsidRDefault="005F566E" w:rsidP="00D81264">
      <w:pPr>
        <w:numPr>
          <w:ilvl w:val="0"/>
          <w:numId w:val="19"/>
        </w:numPr>
        <w:spacing w:line="360" w:lineRule="auto"/>
        <w:jc w:val="both"/>
        <w:rPr>
          <w:rFonts w:ascii="Arial" w:hAnsi="Arial" w:cs="Arial"/>
          <w:sz w:val="24"/>
          <w:szCs w:val="24"/>
        </w:rPr>
      </w:pPr>
      <w:r w:rsidRPr="0091070E">
        <w:rPr>
          <w:rFonts w:ascii="Arial" w:hAnsi="Arial" w:cs="Arial"/>
          <w:sz w:val="24"/>
          <w:szCs w:val="24"/>
        </w:rPr>
        <w:t xml:space="preserve">RAJMILOVICH, Dario, “LA FIRMA Y EL IMPUESTO DE SELLOS. NUEVO CÓDIGO CIVIL Y COMERCIAL DE LA NACIÓN – LEY 26.994”, Thomsom Reuters, La Ley On Line.  </w:t>
      </w:r>
    </w:p>
    <w:p w:rsidR="005F566E" w:rsidRPr="0091070E" w:rsidRDefault="005F566E" w:rsidP="00D81264">
      <w:pPr>
        <w:numPr>
          <w:ilvl w:val="0"/>
          <w:numId w:val="19"/>
        </w:numPr>
        <w:spacing w:line="360" w:lineRule="auto"/>
        <w:jc w:val="both"/>
        <w:rPr>
          <w:rFonts w:ascii="Arial" w:hAnsi="Arial" w:cs="Arial"/>
          <w:sz w:val="24"/>
          <w:szCs w:val="24"/>
        </w:rPr>
      </w:pPr>
      <w:r w:rsidRPr="0091070E">
        <w:rPr>
          <w:rFonts w:ascii="Arial" w:hAnsi="Arial" w:cs="Arial"/>
          <w:sz w:val="24"/>
          <w:szCs w:val="24"/>
        </w:rPr>
        <w:t>REVILLA Pablo y NAVEIRA DE CASANOVA Gustavo, REGIMEN TRIBUTARIO ARGENTINO, 1</w:t>
      </w:r>
      <w:r w:rsidRPr="0091070E">
        <w:rPr>
          <w:rFonts w:ascii="Arial" w:hAnsi="Arial" w:cs="Arial"/>
          <w:sz w:val="24"/>
          <w:szCs w:val="24"/>
          <w:vertAlign w:val="superscript"/>
        </w:rPr>
        <w:t>era</w:t>
      </w:r>
      <w:r w:rsidRPr="0091070E">
        <w:rPr>
          <w:rFonts w:ascii="Arial" w:hAnsi="Arial" w:cs="Arial"/>
          <w:sz w:val="24"/>
          <w:szCs w:val="24"/>
        </w:rPr>
        <w:t xml:space="preserve"> Edición, Editorial: Abeledo Perrot, Buenos Aires, 2010.</w:t>
      </w:r>
    </w:p>
    <w:p w:rsidR="005F566E" w:rsidRPr="008E70EC" w:rsidRDefault="005F566E" w:rsidP="008E70EC">
      <w:pPr>
        <w:spacing w:line="360" w:lineRule="auto"/>
        <w:jc w:val="both"/>
        <w:rPr>
          <w:rFonts w:ascii="Arial" w:hAnsi="Arial" w:cs="Arial"/>
        </w:rPr>
      </w:pPr>
    </w:p>
    <w:p w:rsidR="005F566E" w:rsidRPr="008E70EC" w:rsidRDefault="005F566E" w:rsidP="008E70EC">
      <w:pPr>
        <w:spacing w:line="360" w:lineRule="auto"/>
        <w:jc w:val="both"/>
        <w:rPr>
          <w:rFonts w:ascii="Arial" w:hAnsi="Arial" w:cs="Arial"/>
        </w:rPr>
      </w:pPr>
    </w:p>
    <w:p w:rsidR="005F566E" w:rsidRPr="008E70EC" w:rsidRDefault="005F566E" w:rsidP="008E70EC">
      <w:pPr>
        <w:spacing w:line="360" w:lineRule="auto"/>
        <w:jc w:val="both"/>
        <w:rPr>
          <w:rFonts w:ascii="Arial" w:hAnsi="Arial" w:cs="Arial"/>
        </w:rPr>
      </w:pPr>
      <w:r w:rsidRPr="008E70EC">
        <w:rPr>
          <w:rFonts w:ascii="Arial" w:hAnsi="Arial" w:cs="Arial"/>
        </w:rPr>
        <w:t xml:space="preserve"> </w:t>
      </w:r>
    </w:p>
    <w:p w:rsidR="005F566E" w:rsidRPr="008E70EC" w:rsidRDefault="005F566E" w:rsidP="008E70EC">
      <w:pPr>
        <w:spacing w:line="360" w:lineRule="auto"/>
        <w:jc w:val="both"/>
        <w:rPr>
          <w:rFonts w:ascii="Arial" w:hAnsi="Arial" w:cs="Arial"/>
        </w:rPr>
      </w:pPr>
      <w:r w:rsidRPr="008E70EC">
        <w:rPr>
          <w:rFonts w:ascii="Arial" w:hAnsi="Arial" w:cs="Arial"/>
        </w:rPr>
        <w:t xml:space="preserve"> </w:t>
      </w:r>
    </w:p>
    <w:p w:rsidR="005F566E" w:rsidRPr="008E70EC" w:rsidRDefault="005F566E" w:rsidP="008E70EC">
      <w:pPr>
        <w:spacing w:line="360" w:lineRule="auto"/>
        <w:jc w:val="both"/>
        <w:rPr>
          <w:rFonts w:ascii="Arial" w:hAnsi="Arial" w:cs="Arial"/>
        </w:rPr>
      </w:pPr>
    </w:p>
    <w:p w:rsidR="005F566E" w:rsidRPr="008E70EC" w:rsidRDefault="005F566E" w:rsidP="008E70EC">
      <w:pPr>
        <w:spacing w:line="360" w:lineRule="auto"/>
        <w:jc w:val="both"/>
        <w:rPr>
          <w:rFonts w:ascii="Arial" w:hAnsi="Arial" w:cs="Arial"/>
        </w:rPr>
      </w:pPr>
    </w:p>
    <w:p w:rsidR="005F566E" w:rsidRPr="008E70EC" w:rsidRDefault="005F566E" w:rsidP="008E70EC">
      <w:pPr>
        <w:spacing w:line="360" w:lineRule="auto"/>
        <w:jc w:val="both"/>
        <w:rPr>
          <w:rFonts w:ascii="Arial" w:hAnsi="Arial" w:cs="Arial"/>
        </w:rPr>
      </w:pPr>
    </w:p>
    <w:sectPr w:rsidR="005F566E" w:rsidRPr="008E70EC" w:rsidSect="00AF13D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66E" w:rsidRDefault="005F566E">
      <w:r>
        <w:separator/>
      </w:r>
    </w:p>
  </w:endnote>
  <w:endnote w:type="continuationSeparator" w:id="0">
    <w:p w:rsidR="005F566E" w:rsidRDefault="005F5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66E" w:rsidRDefault="005F566E">
      <w:r>
        <w:separator/>
      </w:r>
    </w:p>
  </w:footnote>
  <w:footnote w:type="continuationSeparator" w:id="0">
    <w:p w:rsidR="005F566E" w:rsidRDefault="005F566E">
      <w:r>
        <w:continuationSeparator/>
      </w:r>
    </w:p>
  </w:footnote>
  <w:footnote w:id="1">
    <w:p w:rsidR="005F566E" w:rsidRDefault="005F566E">
      <w:pPr>
        <w:pStyle w:val="FootnoteText"/>
      </w:pPr>
      <w:r>
        <w:rPr>
          <w:rStyle w:val="FootnoteReference"/>
        </w:rPr>
        <w:footnoteRef/>
      </w:r>
      <w:r>
        <w:t xml:space="preserve"> REVILLA, Pablo y  </w:t>
      </w:r>
      <w:r>
        <w:rPr>
          <w:lang w:val="es-AR"/>
        </w:rPr>
        <w:t>NAVEIRA DE CASANOVA, Gustavo, “</w:t>
      </w:r>
      <w:r w:rsidRPr="000B463F">
        <w:rPr>
          <w:i/>
          <w:lang w:val="es-AR"/>
        </w:rPr>
        <w:t>RÉGIMEN TRIBUTARIO ARGENTINO</w:t>
      </w:r>
      <w:r>
        <w:rPr>
          <w:lang w:val="es-AR"/>
        </w:rPr>
        <w:t>”, 1</w:t>
      </w:r>
      <w:r w:rsidRPr="000B463F">
        <w:rPr>
          <w:vertAlign w:val="superscript"/>
          <w:lang w:val="es-AR"/>
        </w:rPr>
        <w:t>era</w:t>
      </w:r>
      <w:r>
        <w:rPr>
          <w:lang w:val="es-AR"/>
        </w:rPr>
        <w:t xml:space="preserve"> Edición, Buenos Aires, Abeledo Perrot, 2010</w:t>
      </w:r>
    </w:p>
  </w:footnote>
  <w:footnote w:id="2">
    <w:p w:rsidR="005F566E" w:rsidRDefault="005F566E">
      <w:pPr>
        <w:pStyle w:val="FootnoteText"/>
      </w:pPr>
      <w:r>
        <w:rPr>
          <w:rStyle w:val="FootnoteReference"/>
        </w:rPr>
        <w:footnoteRef/>
      </w:r>
      <w:r>
        <w:t xml:space="preserve"> REVILLA, Pablo y  </w:t>
      </w:r>
      <w:r>
        <w:rPr>
          <w:lang w:val="es-AR"/>
        </w:rPr>
        <w:t>NAVEIRA DE CASANOVA, Gustavo, “</w:t>
      </w:r>
      <w:r w:rsidRPr="000B463F">
        <w:rPr>
          <w:i/>
          <w:lang w:val="es-AR"/>
        </w:rPr>
        <w:t>RÉGIMEN TRIBUTARIO ARGENTINO</w:t>
      </w:r>
      <w:r>
        <w:rPr>
          <w:lang w:val="es-AR"/>
        </w:rPr>
        <w:t>”, 1</w:t>
      </w:r>
      <w:r w:rsidRPr="000B463F">
        <w:rPr>
          <w:vertAlign w:val="superscript"/>
          <w:lang w:val="es-AR"/>
        </w:rPr>
        <w:t>era</w:t>
      </w:r>
      <w:r>
        <w:rPr>
          <w:lang w:val="es-AR"/>
        </w:rPr>
        <w:t xml:space="preserve"> Edición, Buenos Aires, Abeledo Perrot, 2010. </w:t>
      </w:r>
    </w:p>
  </w:footnote>
  <w:footnote w:id="3">
    <w:p w:rsidR="005F566E" w:rsidRDefault="005F566E">
      <w:pPr>
        <w:pStyle w:val="FootnoteText"/>
      </w:pPr>
      <w:r>
        <w:rPr>
          <w:rStyle w:val="FootnoteReference"/>
        </w:rPr>
        <w:footnoteRef/>
      </w:r>
      <w:r>
        <w:t xml:space="preserve"> RAJMILOVICH, Dario, “</w:t>
      </w:r>
      <w:r w:rsidRPr="000B463F">
        <w:rPr>
          <w:i/>
        </w:rPr>
        <w:t>LA FIRMA Y EL IMPUESTO DE SELLOS.  NUEVO CÓDIGO CIVIL Y COMERCIAL DE LA NACIÓN – LEY 26.994</w:t>
      </w:r>
      <w:r>
        <w:t>”,  Thomson Reuters, La Ley On- Line.</w:t>
      </w:r>
    </w:p>
  </w:footnote>
  <w:footnote w:id="4">
    <w:p w:rsidR="005F566E" w:rsidRDefault="005F566E" w:rsidP="00DB61A6">
      <w:pPr>
        <w:pStyle w:val="FootnoteText"/>
      </w:pPr>
      <w:r>
        <w:rPr>
          <w:rStyle w:val="FootnoteReference"/>
        </w:rPr>
        <w:footnoteRef/>
      </w:r>
      <w:r>
        <w:t xml:space="preserve"> </w:t>
      </w:r>
      <w:r>
        <w:rPr>
          <w:lang w:val="es-AR"/>
        </w:rPr>
        <w:t>MALVITANO, Rubén Horacio, “</w:t>
      </w:r>
      <w:r>
        <w:rPr>
          <w:i/>
          <w:lang w:val="es-AR"/>
        </w:rPr>
        <w:t>E</w:t>
      </w:r>
      <w:r w:rsidRPr="000B463F">
        <w:rPr>
          <w:i/>
          <w:lang w:val="es-AR"/>
        </w:rPr>
        <w:t>L IMPUESTO DE SELLOS Y LA CONCERTACIÓN ELECTRÓNICA</w:t>
      </w:r>
      <w:r>
        <w:rPr>
          <w:lang w:val="es-AR"/>
        </w:rPr>
        <w:t>”, II Jornadas de Derecho Tributario Provincial y Municipal, Julio de 2015, Asociación Argentina de Estudios Fiscales.</w:t>
      </w:r>
    </w:p>
  </w:footnote>
  <w:footnote w:id="5">
    <w:p w:rsidR="005F566E" w:rsidRDefault="005F566E">
      <w:pPr>
        <w:pStyle w:val="FootnoteText"/>
      </w:pPr>
      <w:r>
        <w:rPr>
          <w:rStyle w:val="FootnoteReference"/>
        </w:rPr>
        <w:footnoteRef/>
      </w:r>
      <w:r>
        <w:t xml:space="preserve"> </w:t>
      </w:r>
      <w:r>
        <w:rPr>
          <w:lang w:val="es-AR"/>
        </w:rPr>
        <w:t xml:space="preserve">RAJMILOVICH, </w:t>
      </w:r>
      <w:r w:rsidRPr="00FF6FD2">
        <w:rPr>
          <w:i/>
          <w:lang w:val="es-AR"/>
        </w:rPr>
        <w:t>op. cit.</w:t>
      </w:r>
    </w:p>
  </w:footnote>
  <w:footnote w:id="6">
    <w:p w:rsidR="005F566E" w:rsidRDefault="005F566E">
      <w:pPr>
        <w:pStyle w:val="FootnoteText"/>
      </w:pPr>
      <w:r>
        <w:rPr>
          <w:rStyle w:val="FootnoteReference"/>
        </w:rPr>
        <w:footnoteRef/>
      </w:r>
      <w:r>
        <w:t xml:space="preserve"> MARTÍN, Julián, </w:t>
      </w:r>
      <w:r w:rsidRPr="0091070E">
        <w:rPr>
          <w:i/>
        </w:rPr>
        <w:t>“El impuesto de sellos ante el Código Civil y Comercial”</w:t>
      </w:r>
      <w:r>
        <w:t>, La Ley Checkpoint</w:t>
      </w:r>
    </w:p>
  </w:footnote>
  <w:footnote w:id="7">
    <w:p w:rsidR="005F566E" w:rsidRDefault="005F566E">
      <w:pPr>
        <w:pStyle w:val="FootnoteText"/>
      </w:pPr>
      <w:r>
        <w:rPr>
          <w:rStyle w:val="FootnoteReference"/>
        </w:rPr>
        <w:footnoteRef/>
      </w:r>
      <w:r>
        <w:t xml:space="preserve"> </w:t>
      </w:r>
      <w:r>
        <w:rPr>
          <w:lang w:val="es-AR"/>
        </w:rPr>
        <w:t xml:space="preserve">RAJMILOVICH, </w:t>
      </w:r>
      <w:r w:rsidRPr="00BC3EF5">
        <w:rPr>
          <w:i/>
          <w:lang w:val="es-AR"/>
        </w:rPr>
        <w:t>op cit</w:t>
      </w:r>
    </w:p>
  </w:footnote>
  <w:footnote w:id="8">
    <w:p w:rsidR="005F566E" w:rsidRDefault="005F566E">
      <w:pPr>
        <w:pStyle w:val="FootnoteText"/>
      </w:pPr>
      <w:r>
        <w:rPr>
          <w:rStyle w:val="FootnoteReference"/>
        </w:rPr>
        <w:footnoteRef/>
      </w:r>
      <w:r>
        <w:t xml:space="preserve"> REVILLA, </w:t>
      </w:r>
      <w:r w:rsidRPr="00BC3EF5">
        <w:rPr>
          <w:i/>
        </w:rPr>
        <w:t>op cit.</w:t>
      </w:r>
    </w:p>
  </w:footnote>
  <w:footnote w:id="9">
    <w:p w:rsidR="005F566E" w:rsidRDefault="005F566E">
      <w:pPr>
        <w:pStyle w:val="FootnoteText"/>
      </w:pPr>
      <w:r>
        <w:rPr>
          <w:rStyle w:val="FootnoteReference"/>
        </w:rPr>
        <w:footnoteRef/>
      </w:r>
      <w:r>
        <w:t xml:space="preserve"> GERMAIN Pablo C. y KUSA, Liban Angel, </w:t>
      </w:r>
      <w:r w:rsidRPr="0091070E">
        <w:rPr>
          <w:i/>
        </w:rPr>
        <w:t>“No gravabilidad de los contratos celebrados por aceptación tácita y en la privatización del gas”</w:t>
      </w:r>
      <w:r>
        <w:t>, www.cronista.com, 16/05/2004</w:t>
      </w:r>
    </w:p>
  </w:footnote>
  <w:footnote w:id="10">
    <w:p w:rsidR="005F566E" w:rsidRDefault="005F566E">
      <w:pPr>
        <w:pStyle w:val="FootnoteText"/>
      </w:pPr>
      <w:r>
        <w:rPr>
          <w:rStyle w:val="FootnoteReference"/>
        </w:rPr>
        <w:footnoteRef/>
      </w:r>
      <w:r>
        <w:t xml:space="preserve"> MALVITANO, </w:t>
      </w:r>
      <w:r w:rsidRPr="00BC3EF5">
        <w:rPr>
          <w:i/>
        </w:rPr>
        <w:t>op cit.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FD20D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ED04A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2C67B5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2F6EF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CEC7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5E3D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5051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52D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40FA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910A7BA"/>
    <w:lvl w:ilvl="0">
      <w:start w:val="1"/>
      <w:numFmt w:val="bullet"/>
      <w:lvlText w:val=""/>
      <w:lvlJc w:val="left"/>
      <w:pPr>
        <w:tabs>
          <w:tab w:val="num" w:pos="360"/>
        </w:tabs>
        <w:ind w:left="360" w:hanging="360"/>
      </w:pPr>
      <w:rPr>
        <w:rFonts w:ascii="Symbol" w:hAnsi="Symbol" w:hint="default"/>
      </w:rPr>
    </w:lvl>
  </w:abstractNum>
  <w:abstractNum w:abstractNumId="10">
    <w:nsid w:val="0A947F07"/>
    <w:multiLevelType w:val="hybridMultilevel"/>
    <w:tmpl w:val="E5B859F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6AE49C1"/>
    <w:multiLevelType w:val="hybridMultilevel"/>
    <w:tmpl w:val="847AA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281E5C"/>
    <w:multiLevelType w:val="hybridMultilevel"/>
    <w:tmpl w:val="F2425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FC20A40"/>
    <w:multiLevelType w:val="hybridMultilevel"/>
    <w:tmpl w:val="F516FCE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22CB76DC"/>
    <w:multiLevelType w:val="hybridMultilevel"/>
    <w:tmpl w:val="4E4AF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F863952"/>
    <w:multiLevelType w:val="hybridMultilevel"/>
    <w:tmpl w:val="CE263B5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41300FFC"/>
    <w:multiLevelType w:val="hybridMultilevel"/>
    <w:tmpl w:val="B442E16E"/>
    <w:lvl w:ilvl="0" w:tplc="0C0A0015">
      <w:start w:val="1"/>
      <w:numFmt w:val="upp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47776854"/>
    <w:multiLevelType w:val="hybridMultilevel"/>
    <w:tmpl w:val="4224D13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4D8D6E56"/>
    <w:multiLevelType w:val="hybridMultilevel"/>
    <w:tmpl w:val="4816DA0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59601285"/>
    <w:multiLevelType w:val="hybridMultilevel"/>
    <w:tmpl w:val="DA0E0EFC"/>
    <w:lvl w:ilvl="0" w:tplc="0C0A0015">
      <w:start w:val="1"/>
      <w:numFmt w:val="upperLetter"/>
      <w:lvlText w:val="%1."/>
      <w:lvlJc w:val="left"/>
      <w:pPr>
        <w:ind w:left="900" w:hanging="360"/>
      </w:pPr>
      <w:rPr>
        <w:rFonts w:cs="Times New Roman" w:hint="default"/>
      </w:rPr>
    </w:lvl>
    <w:lvl w:ilvl="1" w:tplc="0C0A0019" w:tentative="1">
      <w:start w:val="1"/>
      <w:numFmt w:val="lowerLetter"/>
      <w:lvlText w:val="%2."/>
      <w:lvlJc w:val="left"/>
      <w:pPr>
        <w:ind w:left="1620" w:hanging="360"/>
      </w:pPr>
      <w:rPr>
        <w:rFonts w:cs="Times New Roman"/>
      </w:rPr>
    </w:lvl>
    <w:lvl w:ilvl="2" w:tplc="0C0A001B" w:tentative="1">
      <w:start w:val="1"/>
      <w:numFmt w:val="lowerRoman"/>
      <w:lvlText w:val="%3."/>
      <w:lvlJc w:val="right"/>
      <w:pPr>
        <w:ind w:left="2340" w:hanging="180"/>
      </w:pPr>
      <w:rPr>
        <w:rFonts w:cs="Times New Roman"/>
      </w:rPr>
    </w:lvl>
    <w:lvl w:ilvl="3" w:tplc="0C0A000F" w:tentative="1">
      <w:start w:val="1"/>
      <w:numFmt w:val="decimal"/>
      <w:lvlText w:val="%4."/>
      <w:lvlJc w:val="left"/>
      <w:pPr>
        <w:ind w:left="3060" w:hanging="360"/>
      </w:pPr>
      <w:rPr>
        <w:rFonts w:cs="Times New Roman"/>
      </w:rPr>
    </w:lvl>
    <w:lvl w:ilvl="4" w:tplc="0C0A0019" w:tentative="1">
      <w:start w:val="1"/>
      <w:numFmt w:val="lowerLetter"/>
      <w:lvlText w:val="%5."/>
      <w:lvlJc w:val="left"/>
      <w:pPr>
        <w:ind w:left="3780" w:hanging="360"/>
      </w:pPr>
      <w:rPr>
        <w:rFonts w:cs="Times New Roman"/>
      </w:rPr>
    </w:lvl>
    <w:lvl w:ilvl="5" w:tplc="0C0A001B" w:tentative="1">
      <w:start w:val="1"/>
      <w:numFmt w:val="lowerRoman"/>
      <w:lvlText w:val="%6."/>
      <w:lvlJc w:val="right"/>
      <w:pPr>
        <w:ind w:left="4500" w:hanging="180"/>
      </w:pPr>
      <w:rPr>
        <w:rFonts w:cs="Times New Roman"/>
      </w:rPr>
    </w:lvl>
    <w:lvl w:ilvl="6" w:tplc="0C0A000F" w:tentative="1">
      <w:start w:val="1"/>
      <w:numFmt w:val="decimal"/>
      <w:lvlText w:val="%7."/>
      <w:lvlJc w:val="left"/>
      <w:pPr>
        <w:ind w:left="5220" w:hanging="360"/>
      </w:pPr>
      <w:rPr>
        <w:rFonts w:cs="Times New Roman"/>
      </w:rPr>
    </w:lvl>
    <w:lvl w:ilvl="7" w:tplc="0C0A0019" w:tentative="1">
      <w:start w:val="1"/>
      <w:numFmt w:val="lowerLetter"/>
      <w:lvlText w:val="%8."/>
      <w:lvlJc w:val="left"/>
      <w:pPr>
        <w:ind w:left="5940" w:hanging="360"/>
      </w:pPr>
      <w:rPr>
        <w:rFonts w:cs="Times New Roman"/>
      </w:rPr>
    </w:lvl>
    <w:lvl w:ilvl="8" w:tplc="0C0A001B" w:tentative="1">
      <w:start w:val="1"/>
      <w:numFmt w:val="lowerRoman"/>
      <w:lvlText w:val="%9."/>
      <w:lvlJc w:val="right"/>
      <w:pPr>
        <w:ind w:left="6660" w:hanging="180"/>
      </w:pPr>
      <w:rPr>
        <w:rFonts w:cs="Times New Roman"/>
      </w:rPr>
    </w:lvl>
  </w:abstractNum>
  <w:num w:numId="1">
    <w:abstractNumId w:val="10"/>
  </w:num>
  <w:num w:numId="2">
    <w:abstractNumId w:val="16"/>
  </w:num>
  <w:num w:numId="3">
    <w:abstractNumId w:val="18"/>
  </w:num>
  <w:num w:numId="4">
    <w:abstractNumId w:val="11"/>
  </w:num>
  <w:num w:numId="5">
    <w:abstractNumId w:val="14"/>
  </w:num>
  <w:num w:numId="6">
    <w:abstractNumId w:val="12"/>
  </w:num>
  <w:num w:numId="7">
    <w:abstractNumId w:val="19"/>
  </w:num>
  <w:num w:numId="8">
    <w:abstractNumId w:val="13"/>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4BB7"/>
    <w:rsid w:val="000033DD"/>
    <w:rsid w:val="000171C7"/>
    <w:rsid w:val="0003141B"/>
    <w:rsid w:val="000452E5"/>
    <w:rsid w:val="00053E3D"/>
    <w:rsid w:val="000B463F"/>
    <w:rsid w:val="000D1E89"/>
    <w:rsid w:val="000D53E4"/>
    <w:rsid w:val="000E08C7"/>
    <w:rsid w:val="00100657"/>
    <w:rsid w:val="001207AA"/>
    <w:rsid w:val="00170B66"/>
    <w:rsid w:val="001810FC"/>
    <w:rsid w:val="001867B0"/>
    <w:rsid w:val="001A748A"/>
    <w:rsid w:val="001B3655"/>
    <w:rsid w:val="001C2899"/>
    <w:rsid w:val="001E1A7E"/>
    <w:rsid w:val="001E5E32"/>
    <w:rsid w:val="001F4F02"/>
    <w:rsid w:val="00200FDC"/>
    <w:rsid w:val="00202D62"/>
    <w:rsid w:val="00224DA5"/>
    <w:rsid w:val="00232A1C"/>
    <w:rsid w:val="0026572F"/>
    <w:rsid w:val="00280784"/>
    <w:rsid w:val="00293215"/>
    <w:rsid w:val="002A1420"/>
    <w:rsid w:val="002B132B"/>
    <w:rsid w:val="002B2331"/>
    <w:rsid w:val="002C26FB"/>
    <w:rsid w:val="002C38C9"/>
    <w:rsid w:val="002C571B"/>
    <w:rsid w:val="002D2CBC"/>
    <w:rsid w:val="002E5013"/>
    <w:rsid w:val="00302F1A"/>
    <w:rsid w:val="003055E5"/>
    <w:rsid w:val="00311E71"/>
    <w:rsid w:val="003164E5"/>
    <w:rsid w:val="00321069"/>
    <w:rsid w:val="00334419"/>
    <w:rsid w:val="00377252"/>
    <w:rsid w:val="00381035"/>
    <w:rsid w:val="003854D3"/>
    <w:rsid w:val="00390B61"/>
    <w:rsid w:val="003B2A66"/>
    <w:rsid w:val="003E3BC4"/>
    <w:rsid w:val="003F3296"/>
    <w:rsid w:val="00404244"/>
    <w:rsid w:val="004140F3"/>
    <w:rsid w:val="00446712"/>
    <w:rsid w:val="0045678C"/>
    <w:rsid w:val="004841C5"/>
    <w:rsid w:val="004A05F9"/>
    <w:rsid w:val="004D5FBD"/>
    <w:rsid w:val="004E15B0"/>
    <w:rsid w:val="004F3005"/>
    <w:rsid w:val="00504830"/>
    <w:rsid w:val="005142A2"/>
    <w:rsid w:val="0052632C"/>
    <w:rsid w:val="00531900"/>
    <w:rsid w:val="00536AFF"/>
    <w:rsid w:val="0057564F"/>
    <w:rsid w:val="005A0E6B"/>
    <w:rsid w:val="005B05DF"/>
    <w:rsid w:val="005D5C2A"/>
    <w:rsid w:val="005E7057"/>
    <w:rsid w:val="005F3772"/>
    <w:rsid w:val="005F566E"/>
    <w:rsid w:val="005F7DE4"/>
    <w:rsid w:val="00617923"/>
    <w:rsid w:val="00635DC5"/>
    <w:rsid w:val="006629F6"/>
    <w:rsid w:val="00663E60"/>
    <w:rsid w:val="00683F3E"/>
    <w:rsid w:val="006948BC"/>
    <w:rsid w:val="006F2BCE"/>
    <w:rsid w:val="006F7CEF"/>
    <w:rsid w:val="007066DE"/>
    <w:rsid w:val="00734173"/>
    <w:rsid w:val="007502A5"/>
    <w:rsid w:val="0076748A"/>
    <w:rsid w:val="0077623E"/>
    <w:rsid w:val="00776E9B"/>
    <w:rsid w:val="007B2A4C"/>
    <w:rsid w:val="007D5C3D"/>
    <w:rsid w:val="007F6086"/>
    <w:rsid w:val="0082585D"/>
    <w:rsid w:val="00831BB1"/>
    <w:rsid w:val="00841C16"/>
    <w:rsid w:val="008462BA"/>
    <w:rsid w:val="00877F7E"/>
    <w:rsid w:val="00886544"/>
    <w:rsid w:val="008A4512"/>
    <w:rsid w:val="008E70EC"/>
    <w:rsid w:val="00907211"/>
    <w:rsid w:val="0091070E"/>
    <w:rsid w:val="009301ED"/>
    <w:rsid w:val="0093636F"/>
    <w:rsid w:val="009A63B9"/>
    <w:rsid w:val="009E6F02"/>
    <w:rsid w:val="00A24994"/>
    <w:rsid w:val="00A41DC0"/>
    <w:rsid w:val="00A42769"/>
    <w:rsid w:val="00A46D5D"/>
    <w:rsid w:val="00A516F6"/>
    <w:rsid w:val="00A77099"/>
    <w:rsid w:val="00A77678"/>
    <w:rsid w:val="00A96A02"/>
    <w:rsid w:val="00AA0DB4"/>
    <w:rsid w:val="00AC1263"/>
    <w:rsid w:val="00AF13D0"/>
    <w:rsid w:val="00AF3D76"/>
    <w:rsid w:val="00AF6FB8"/>
    <w:rsid w:val="00B20140"/>
    <w:rsid w:val="00B3532C"/>
    <w:rsid w:val="00B428FD"/>
    <w:rsid w:val="00B56AE3"/>
    <w:rsid w:val="00B75808"/>
    <w:rsid w:val="00B84BB7"/>
    <w:rsid w:val="00B85653"/>
    <w:rsid w:val="00B8641C"/>
    <w:rsid w:val="00BC3EF5"/>
    <w:rsid w:val="00BC52DF"/>
    <w:rsid w:val="00C91CEC"/>
    <w:rsid w:val="00CA2928"/>
    <w:rsid w:val="00CC0763"/>
    <w:rsid w:val="00CE2CA9"/>
    <w:rsid w:val="00CE5FAA"/>
    <w:rsid w:val="00D518A9"/>
    <w:rsid w:val="00D75013"/>
    <w:rsid w:val="00D81264"/>
    <w:rsid w:val="00D87BEE"/>
    <w:rsid w:val="00DA09E5"/>
    <w:rsid w:val="00DA5552"/>
    <w:rsid w:val="00DB61A6"/>
    <w:rsid w:val="00E16811"/>
    <w:rsid w:val="00E16F88"/>
    <w:rsid w:val="00E82326"/>
    <w:rsid w:val="00EA6D2C"/>
    <w:rsid w:val="00EC44EC"/>
    <w:rsid w:val="00ED517B"/>
    <w:rsid w:val="00F04F5B"/>
    <w:rsid w:val="00F2555E"/>
    <w:rsid w:val="00F56F21"/>
    <w:rsid w:val="00F64E7F"/>
    <w:rsid w:val="00F73184"/>
    <w:rsid w:val="00FA321A"/>
    <w:rsid w:val="00FD2C24"/>
    <w:rsid w:val="00FF6FD2"/>
    <w:rsid w:val="00FF7F6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D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E08C7"/>
    <w:pPr>
      <w:ind w:left="720"/>
      <w:contextualSpacing/>
    </w:pPr>
  </w:style>
  <w:style w:type="paragraph" w:styleId="FootnoteText">
    <w:name w:val="footnote text"/>
    <w:basedOn w:val="Normal"/>
    <w:link w:val="FootnoteTextChar"/>
    <w:uiPriority w:val="99"/>
    <w:semiHidden/>
    <w:rsid w:val="00E16F88"/>
    <w:rPr>
      <w:sz w:val="20"/>
      <w:szCs w:val="20"/>
    </w:rPr>
  </w:style>
  <w:style w:type="character" w:customStyle="1" w:styleId="FootnoteTextChar">
    <w:name w:val="Footnote Text Char"/>
    <w:basedOn w:val="DefaultParagraphFont"/>
    <w:link w:val="FootnoteText"/>
    <w:uiPriority w:val="99"/>
    <w:semiHidden/>
    <w:locked/>
    <w:rsid w:val="009E6F02"/>
    <w:rPr>
      <w:rFonts w:cs="Times New Roman"/>
      <w:sz w:val="20"/>
      <w:szCs w:val="20"/>
      <w:lang w:eastAsia="en-US"/>
    </w:rPr>
  </w:style>
  <w:style w:type="character" w:styleId="FootnoteReference">
    <w:name w:val="footnote reference"/>
    <w:basedOn w:val="DefaultParagraphFont"/>
    <w:uiPriority w:val="99"/>
    <w:semiHidden/>
    <w:rsid w:val="00E16F88"/>
    <w:rPr>
      <w:rFonts w:cs="Times New Roman"/>
      <w:vertAlign w:val="superscript"/>
    </w:rPr>
  </w:style>
  <w:style w:type="paragraph" w:styleId="NormalWeb">
    <w:name w:val="Normal (Web)"/>
    <w:basedOn w:val="Normal"/>
    <w:uiPriority w:val="99"/>
    <w:rsid w:val="000033DD"/>
    <w:pPr>
      <w:spacing w:before="100" w:beforeAutospacing="1" w:after="100" w:afterAutospacing="1" w:line="240" w:lineRule="auto"/>
    </w:pPr>
    <w:rPr>
      <w:rFonts w:ascii="Times New Roman" w:hAnsi="Times New Roman"/>
      <w:sz w:val="24"/>
      <w:szCs w:val="24"/>
      <w:lang w:eastAsia="es-ES"/>
    </w:rPr>
  </w:style>
  <w:style w:type="character" w:customStyle="1" w:styleId="apple-converted-space">
    <w:name w:val="apple-converted-space"/>
    <w:basedOn w:val="DefaultParagraphFont"/>
    <w:uiPriority w:val="99"/>
    <w:rsid w:val="002D2CBC"/>
    <w:rPr>
      <w:rFonts w:cs="Times New Roman"/>
    </w:rPr>
  </w:style>
</w:styles>
</file>

<file path=word/webSettings.xml><?xml version="1.0" encoding="utf-8"?>
<w:webSettings xmlns:r="http://schemas.openxmlformats.org/officeDocument/2006/relationships" xmlns:w="http://schemas.openxmlformats.org/wordprocessingml/2006/main">
  <w:divs>
    <w:div w:id="1336303619">
      <w:marLeft w:val="0"/>
      <w:marRight w:val="0"/>
      <w:marTop w:val="0"/>
      <w:marBottom w:val="0"/>
      <w:divBdr>
        <w:top w:val="none" w:sz="0" w:space="0" w:color="auto"/>
        <w:left w:val="none" w:sz="0" w:space="0" w:color="auto"/>
        <w:bottom w:val="none" w:sz="0" w:space="0" w:color="auto"/>
        <w:right w:val="none" w:sz="0" w:space="0" w:color="auto"/>
      </w:divBdr>
    </w:div>
    <w:div w:id="1336303621">
      <w:marLeft w:val="0"/>
      <w:marRight w:val="0"/>
      <w:marTop w:val="0"/>
      <w:marBottom w:val="0"/>
      <w:divBdr>
        <w:top w:val="none" w:sz="0" w:space="0" w:color="auto"/>
        <w:left w:val="none" w:sz="0" w:space="0" w:color="auto"/>
        <w:bottom w:val="none" w:sz="0" w:space="0" w:color="auto"/>
        <w:right w:val="none" w:sz="0" w:space="0" w:color="auto"/>
      </w:divBdr>
      <w:divsChild>
        <w:div w:id="1336303620">
          <w:marLeft w:val="0"/>
          <w:marRight w:val="0"/>
          <w:marTop w:val="0"/>
          <w:marBottom w:val="0"/>
          <w:divBdr>
            <w:top w:val="none" w:sz="0" w:space="0" w:color="auto"/>
            <w:left w:val="none" w:sz="0" w:space="0" w:color="auto"/>
            <w:bottom w:val="none" w:sz="0" w:space="0" w:color="auto"/>
            <w:right w:val="none" w:sz="0" w:space="0" w:color="auto"/>
          </w:divBdr>
          <w:divsChild>
            <w:div w:id="1336303617">
              <w:marLeft w:val="0"/>
              <w:marRight w:val="0"/>
              <w:marTop w:val="0"/>
              <w:marBottom w:val="0"/>
              <w:divBdr>
                <w:top w:val="none" w:sz="0" w:space="0" w:color="auto"/>
                <w:left w:val="none" w:sz="0" w:space="0" w:color="auto"/>
                <w:bottom w:val="none" w:sz="0" w:space="0" w:color="auto"/>
                <w:right w:val="none" w:sz="0" w:space="0" w:color="auto"/>
              </w:divBdr>
              <w:divsChild>
                <w:div w:id="13363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16</Pages>
  <Words>4113</Words>
  <Characters>22627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INTRODUCCION</dc:title>
  <dc:subject/>
  <dc:creator>HP</dc:creator>
  <cp:keywords/>
  <dc:description/>
  <cp:lastModifiedBy>javier</cp:lastModifiedBy>
  <cp:revision>2</cp:revision>
  <dcterms:created xsi:type="dcterms:W3CDTF">2015-10-11T22:36:00Z</dcterms:created>
  <dcterms:modified xsi:type="dcterms:W3CDTF">2015-10-11T22:36:00Z</dcterms:modified>
</cp:coreProperties>
</file>